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49D74" w14:textId="77777777" w:rsidR="008B44F2" w:rsidRPr="001629F3" w:rsidRDefault="00E13D0D">
      <w:pPr>
        <w:pStyle w:val="Title"/>
        <w:rPr>
          <w:color w:val="000000" w:themeColor="text1"/>
        </w:rPr>
      </w:pPr>
      <w:r w:rsidRPr="001629F3">
        <w:rPr>
          <w:color w:val="000000" w:themeColor="text1"/>
        </w:rPr>
        <w:t>Extending the SPRFMO Jack mackerel assessment model uncertainty estimates</w:t>
      </w:r>
    </w:p>
    <w:p w14:paraId="60E95BC2" w14:textId="77777777" w:rsidR="008B44F2" w:rsidRPr="001629F3" w:rsidRDefault="00E13D0D">
      <w:pPr>
        <w:pStyle w:val="Date"/>
        <w:rPr>
          <w:color w:val="000000" w:themeColor="text1"/>
        </w:rPr>
      </w:pPr>
      <w:r w:rsidRPr="001629F3">
        <w:rPr>
          <w:color w:val="000000" w:themeColor="text1"/>
        </w:rPr>
        <w:t>13 July 2022</w:t>
      </w:r>
    </w:p>
    <w:p w14:paraId="7371FB9D" w14:textId="77777777" w:rsidR="008B44F2" w:rsidRPr="001629F3" w:rsidRDefault="00E13D0D" w:rsidP="00EF3917">
      <w:pPr>
        <w:pStyle w:val="Heading1"/>
      </w:pPr>
      <w:bookmarkStart w:id="0" w:name="introduction"/>
      <w:r w:rsidRPr="001629F3">
        <w:rPr>
          <w:rStyle w:val="SectionNumber"/>
        </w:rPr>
        <w:t>1</w:t>
      </w:r>
      <w:r w:rsidRPr="001629F3">
        <w:tab/>
        <w:t>Introduction</w:t>
      </w:r>
    </w:p>
    <w:p w14:paraId="76CEA394" w14:textId="77777777" w:rsidR="008B44F2" w:rsidRPr="001629F3" w:rsidRDefault="00E13D0D">
      <w:pPr>
        <w:pStyle w:val="FirstParagraph"/>
        <w:rPr>
          <w:color w:val="000000" w:themeColor="text1"/>
        </w:rPr>
      </w:pPr>
      <w:r w:rsidRPr="001629F3">
        <w:rPr>
          <w:color w:val="000000" w:themeColor="text1"/>
        </w:rPr>
        <w:t xml:space="preserve">In this short paper we explore conducting full Bayesian posterior distributions within ADMB using the </w:t>
      </w:r>
      <w:r w:rsidRPr="001629F3">
        <w:rPr>
          <w:rStyle w:val="VerbatimChar"/>
          <w:color w:val="000000" w:themeColor="text1"/>
        </w:rPr>
        <w:t>adnuts</w:t>
      </w:r>
      <w:r w:rsidRPr="001629F3">
        <w:rPr>
          <w:color w:val="000000" w:themeColor="text1"/>
        </w:rPr>
        <w:t xml:space="preserve"> R package. For catch advice and uncertainty, the joint Jack mackerel (</w:t>
      </w:r>
      <w:r w:rsidRPr="001629F3">
        <w:rPr>
          <w:rStyle w:val="VerbatimChar"/>
          <w:color w:val="000000" w:themeColor="text1"/>
        </w:rPr>
        <w:t>jjm</w:t>
      </w:r>
      <w:r w:rsidRPr="001629F3">
        <w:rPr>
          <w:color w:val="000000" w:themeColor="text1"/>
        </w:rPr>
        <w:t>) assessment model has used point estimates and asymptotic variance estimates to evaluate the uncertainty used for evaluating historical and projected stock trends. Adopting this utility that has recently been added into ADMB provides a robust set of diagnostics. In an extended set of runs we evaluate a time-varying 3-parameter double logistic to evaluate a model with fewer parameters and less reliance on ad-hoc penalty weights applied to the non-parametric approach used previously.</w:t>
      </w:r>
    </w:p>
    <w:p w14:paraId="7066542E" w14:textId="77777777" w:rsidR="008B44F2" w:rsidRPr="001629F3" w:rsidRDefault="00E13D0D" w:rsidP="00EF3917">
      <w:pPr>
        <w:pStyle w:val="Heading1"/>
      </w:pPr>
      <w:bookmarkStart w:id="1" w:name="methods"/>
      <w:bookmarkEnd w:id="0"/>
      <w:r w:rsidRPr="001629F3">
        <w:rPr>
          <w:rStyle w:val="SectionNumber"/>
        </w:rPr>
        <w:t>2</w:t>
      </w:r>
      <w:r w:rsidRPr="001629F3">
        <w:tab/>
        <w:t>Methods</w:t>
      </w:r>
    </w:p>
    <w:p w14:paraId="20B86CD0" w14:textId="77777777" w:rsidR="008B44F2" w:rsidRPr="001629F3" w:rsidRDefault="00E13D0D" w:rsidP="00EF3917">
      <w:pPr>
        <w:pStyle w:val="Heading2"/>
      </w:pPr>
      <w:bookmarkStart w:id="2" w:name="testing-bayesian-posterior-integrations"/>
      <w:r w:rsidRPr="001629F3">
        <w:rPr>
          <w:rStyle w:val="SectionNumber"/>
        </w:rPr>
        <w:t>2.1</w:t>
      </w:r>
      <w:r w:rsidRPr="001629F3">
        <w:tab/>
        <w:t>Testing Bayesian posterior integrations</w:t>
      </w:r>
    </w:p>
    <w:p w14:paraId="5E332407" w14:textId="77777777" w:rsidR="008B44F2" w:rsidRPr="001629F3" w:rsidRDefault="00E13D0D">
      <w:pPr>
        <w:pStyle w:val="FirstParagraph"/>
        <w:rPr>
          <w:color w:val="000000" w:themeColor="text1"/>
        </w:rPr>
      </w:pPr>
      <w:r w:rsidRPr="001629F3">
        <w:rPr>
          <w:color w:val="000000" w:themeColor="text1"/>
        </w:rPr>
        <w:t>A base 2-stock model was selected for testing and evaluating the alternative uncertainty estimates from the 2021 assessment. The code was modified to output a general data frame that could easily be incorporated into R for subsequent processing and testing. Initial model runs using the MCMC routines indicated that some parameters had difficulty mixing. On further investigation, the problem parameters were related to the fishing mortality values in years when there was zero catch reported in the data. Presently, the model can deal with this and just estimates a very small value for predicted catch (in biomass). This succeeds at the maximum likelihood estimates but when sampled randomly, causes poor performance when integrating over the posterior distribution. Adding a small value to the input data where catch was recorded as zero improved the performance of the MCMC routine greatly and made integration of the 1,474 parameters finish to completion in under five minutes.</w:t>
      </w:r>
    </w:p>
    <w:p w14:paraId="6AFA10C9" w14:textId="77777777" w:rsidR="008B44F2" w:rsidRPr="001629F3" w:rsidRDefault="00E13D0D">
      <w:pPr>
        <w:pStyle w:val="BodyText"/>
        <w:rPr>
          <w:color w:val="000000" w:themeColor="text1"/>
        </w:rPr>
      </w:pPr>
      <w:r w:rsidRPr="001629F3">
        <w:rPr>
          <w:color w:val="000000" w:themeColor="text1"/>
        </w:rPr>
        <w:t>After evaluating the posterior distribution, we were interested to show how the marginal estimates of uncertainty compare with their asymptotic counterparts (as approximated by the inverse Hessian matrix).</w:t>
      </w:r>
    </w:p>
    <w:p w14:paraId="1662CC9C" w14:textId="77777777" w:rsidR="008B44F2" w:rsidRPr="001629F3" w:rsidRDefault="00E13D0D" w:rsidP="00EF3917">
      <w:pPr>
        <w:pStyle w:val="Heading2"/>
      </w:pPr>
      <w:bookmarkStart w:id="3" w:name="X33582089bb105e7bd74c57b3304ceb01c9a7ca4"/>
      <w:bookmarkEnd w:id="2"/>
      <w:r w:rsidRPr="001629F3">
        <w:rPr>
          <w:rStyle w:val="SectionNumber"/>
        </w:rPr>
        <w:t>2.2</w:t>
      </w:r>
      <w:r w:rsidRPr="001629F3">
        <w:tab/>
        <w:t>Development of a 3-parameter double logistic selectivity curve</w:t>
      </w:r>
    </w:p>
    <w:p w14:paraId="67502B33" w14:textId="3C8DFB0B" w:rsidR="008B44F2" w:rsidRPr="001C4996" w:rsidRDefault="001C4996">
      <w:pPr>
        <w:pStyle w:val="FirstParagraph"/>
        <w:rPr>
          <w:color w:val="000000" w:themeColor="text1"/>
        </w:rPr>
      </w:pPr>
      <w:r>
        <w:rPr>
          <w:color w:val="000000" w:themeColor="text1"/>
        </w:rPr>
        <w:t xml:space="preserve">In the proposed release of </w:t>
      </w:r>
      <w:proofErr w:type="spellStart"/>
      <w:r>
        <w:rPr>
          <w:color w:val="000000" w:themeColor="text1"/>
        </w:rPr>
        <w:t>jjm</w:t>
      </w:r>
      <w:proofErr w:type="spellEnd"/>
      <w:r>
        <w:rPr>
          <w:color w:val="000000" w:themeColor="text1"/>
        </w:rPr>
        <w:t xml:space="preserve"> (1.00.00) we developed a new parametric selectivity form. This was an</w:t>
      </w:r>
      <w:r w:rsidRPr="001629F3">
        <w:rPr>
          <w:color w:val="000000" w:themeColor="text1"/>
        </w:rPr>
        <w:t xml:space="preserve"> attempt to</w:t>
      </w:r>
      <w:r>
        <w:rPr>
          <w:color w:val="000000" w:themeColor="text1"/>
        </w:rPr>
        <w:t xml:space="preserve"> reduce the number of parameters in the model while </w:t>
      </w:r>
      <w:proofErr w:type="gramStart"/>
      <w:r>
        <w:rPr>
          <w:color w:val="000000" w:themeColor="text1"/>
        </w:rPr>
        <w:t xml:space="preserve">still </w:t>
      </w:r>
      <w:r w:rsidRPr="001629F3">
        <w:rPr>
          <w:color w:val="000000" w:themeColor="text1"/>
        </w:rPr>
        <w:t xml:space="preserve"> provid</w:t>
      </w:r>
      <w:r>
        <w:rPr>
          <w:color w:val="000000" w:themeColor="text1"/>
        </w:rPr>
        <w:t>ing</w:t>
      </w:r>
      <w:proofErr w:type="gramEnd"/>
      <w:r w:rsidRPr="001629F3">
        <w:rPr>
          <w:color w:val="000000" w:themeColor="text1"/>
        </w:rPr>
        <w:t xml:space="preserve"> enough flexibility as warranted based on the catch-at-age patterns observed for this stock</w:t>
      </w:r>
      <w:r>
        <w:rPr>
          <w:color w:val="000000" w:themeColor="text1"/>
        </w:rPr>
        <w:t>.</w:t>
      </w:r>
      <w:r w:rsidRPr="001629F3">
        <w:rPr>
          <w:color w:val="000000" w:themeColor="text1"/>
        </w:rPr>
        <w:t xml:space="preserve"> </w:t>
      </w:r>
      <w:r>
        <w:rPr>
          <w:color w:val="000000" w:themeColor="text1"/>
        </w:rPr>
        <w:t>This</w:t>
      </w:r>
      <w:r w:rsidRPr="001629F3">
        <w:rPr>
          <w:color w:val="000000" w:themeColor="text1"/>
        </w:rPr>
        <w:t xml:space="preserve"> differentiable 3-parameter “double logistic” selectivity pattern</w:t>
      </w:r>
      <w:r>
        <w:rPr>
          <w:color w:val="000000" w:themeColor="text1"/>
        </w:rPr>
        <w:t xml:space="preserve"> by year and age (</w:t>
      </w:r>
      <w:r>
        <w:rPr>
          <w:i/>
          <w:iCs/>
          <w:color w:val="000000" w:themeColor="text1"/>
        </w:rPr>
        <w:t xml:space="preserve">t, </w:t>
      </w:r>
      <w:r>
        <w:rPr>
          <w:color w:val="000000" w:themeColor="text1"/>
        </w:rPr>
        <w:t xml:space="preserve">and </w:t>
      </w:r>
      <w:r>
        <w:rPr>
          <w:i/>
          <w:iCs/>
          <w:color w:val="000000" w:themeColor="text1"/>
        </w:rPr>
        <w:t>a</w:t>
      </w:r>
      <w:r>
        <w:rPr>
          <w:color w:val="000000" w:themeColor="text1"/>
        </w:rPr>
        <w:t>) can be written (with time subscripts on RHS dropped for clarity) as:</w:t>
      </w:r>
    </w:p>
    <w:p w14:paraId="09963C04" w14:textId="77777777" w:rsidR="008B44F2" w:rsidRPr="001629F3" w:rsidRDefault="00E13D0D">
      <w:pPr>
        <w:pStyle w:val="BodyText"/>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t</m:t>
              </m:r>
              <m:r>
                <m:rPr>
                  <m:sty m:val="p"/>
                </m:rPr>
                <w:rPr>
                  <w:rFonts w:ascii="Cambria Math" w:hAnsi="Cambria Math"/>
                  <w:color w:val="000000" w:themeColor="text1"/>
                </w:rPr>
                <m:t>,</m:t>
              </m:r>
              <m:r>
                <w:rPr>
                  <w:rFonts w:ascii="Cambria Math" w:hAnsi="Cambria Math"/>
                  <w:color w:val="000000" w:themeColor="text1"/>
                </w:rPr>
                <m:t>a</m:t>
              </m:r>
            </m:sub>
          </m:sSub>
          <m:r>
            <m:rPr>
              <m:sty m:val="p"/>
            </m:rPr>
            <w:rPr>
              <w:rFonts w:ascii="Cambria Math" w:hAnsi="Cambria Math"/>
              <w:color w:val="000000" w:themeColor="text1"/>
            </w:rPr>
            <m:t>=</m:t>
          </m:r>
          <m:sSup>
            <m:sSupPr>
              <m:ctrlPr>
                <w:rPr>
                  <w:rFonts w:ascii="Cambria Math" w:hAnsi="Cambria Math"/>
                  <w:color w:val="000000" w:themeColor="text1"/>
                </w:rPr>
              </m:ctrlPr>
            </m:sSupPr>
            <m:e>
              <m:d>
                <m:dPr>
                  <m:begChr m:val="["/>
                  <m:endChr m:val="]"/>
                  <m:ctrlPr>
                    <w:rPr>
                      <w:rFonts w:ascii="Cambria Math" w:hAnsi="Cambria Math"/>
                      <w:color w:val="000000" w:themeColor="text1"/>
                    </w:rPr>
                  </m:ctrlPr>
                </m:dPr>
                <m:e>
                  <m:r>
                    <w:rPr>
                      <w:rFonts w:ascii="Cambria Math" w:hAnsi="Cambria Math"/>
                      <w:color w:val="000000" w:themeColor="text1"/>
                    </w:rPr>
                    <m:t>1</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e</m:t>
                      </m:r>
                    </m:e>
                    <m:sup>
                      <m:f>
                        <m:fPr>
                          <m:ctrlPr>
                            <w:rPr>
                              <w:rFonts w:ascii="Cambria Math" w:hAnsi="Cambria Math"/>
                              <w:color w:val="000000" w:themeColor="text1"/>
                            </w:rPr>
                          </m:ctrlPr>
                        </m:fPr>
                        <m:num>
                          <m:r>
                            <m:rPr>
                              <m:sty m:val="p"/>
                            </m:rPr>
                            <w:rPr>
                              <w:rFonts w:ascii="Cambria Math" w:hAnsi="Cambria Math"/>
                              <w:color w:val="000000" w:themeColor="text1"/>
                            </w:rPr>
                            <m:t>-</m:t>
                          </m:r>
                          <m:r>
                            <w:rPr>
                              <w:rFonts w:ascii="Cambria Math" w:hAnsi="Cambria Math"/>
                              <w:color w:val="000000" w:themeColor="text1"/>
                            </w:rPr>
                            <m:t>ln</m:t>
                          </m:r>
                          <m:d>
                            <m:dPr>
                              <m:ctrlPr>
                                <w:rPr>
                                  <w:rFonts w:ascii="Cambria Math" w:hAnsi="Cambria Math"/>
                                  <w:color w:val="000000" w:themeColor="text1"/>
                                </w:rPr>
                              </m:ctrlPr>
                            </m:dPr>
                            <m:e>
                              <m:r>
                                <w:rPr>
                                  <w:rFonts w:ascii="Cambria Math" w:hAnsi="Cambria Math"/>
                                  <w:color w:val="000000" w:themeColor="text1"/>
                                </w:rPr>
                                <m:t>19</m:t>
                              </m:r>
                            </m:e>
                          </m:d>
                          <m:d>
                            <m:dPr>
                              <m:ctrlPr>
                                <w:rPr>
                                  <w:rFonts w:ascii="Cambria Math" w:hAnsi="Cambria Math"/>
                                  <w:color w:val="000000" w:themeColor="text1"/>
                                </w:rPr>
                              </m:ctrlPr>
                            </m:dPr>
                            <m:e>
                              <m:r>
                                <w:rPr>
                                  <w:rFonts w:ascii="Cambria Math" w:hAnsi="Cambria Math"/>
                                  <w:color w:val="000000" w:themeColor="text1"/>
                                </w:rPr>
                                <m:t>a</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γ</m:t>
                                  </m:r>
                                </m:e>
                                <m:sub>
                                  <m:r>
                                    <w:rPr>
                                      <w:rFonts w:ascii="Cambria Math" w:hAnsi="Cambria Math"/>
                                      <w:color w:val="000000" w:themeColor="text1"/>
                                    </w:rPr>
                                    <m:t>1</m:t>
                                  </m:r>
                                </m:sub>
                              </m:sSub>
                            </m:e>
                          </m:d>
                        </m:num>
                        <m:den>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den>
                      </m:f>
                    </m:sup>
                  </m:sSup>
                </m:e>
              </m:d>
            </m:e>
            <m:sup>
              <m:r>
                <m:rPr>
                  <m:sty m:val="p"/>
                </m:rPr>
                <w:rPr>
                  <w:rFonts w:ascii="Cambria Math" w:hAnsi="Cambria Math"/>
                  <w:color w:val="000000" w:themeColor="text1"/>
                </w:rPr>
                <m:t>-</m:t>
              </m:r>
              <m:r>
                <w:rPr>
                  <w:rFonts w:ascii="Cambria Math" w:hAnsi="Cambria Math"/>
                  <w:color w:val="000000" w:themeColor="text1"/>
                </w:rPr>
                <m:t>1</m:t>
              </m:r>
            </m:sup>
          </m:sSup>
          <m:d>
            <m:dPr>
              <m:begChr m:val="["/>
              <m:endChr m:val="]"/>
              <m:ctrlPr>
                <w:rPr>
                  <w:rFonts w:ascii="Cambria Math" w:hAnsi="Cambria Math"/>
                  <w:color w:val="000000" w:themeColor="text1"/>
                </w:rPr>
              </m:ctrlPr>
            </m:dPr>
            <m:e>
              <m:r>
                <w:rPr>
                  <w:rFonts w:ascii="Cambria Math" w:hAnsi="Cambria Math"/>
                  <w:color w:val="000000" w:themeColor="text1"/>
                </w:rPr>
                <m:t>1</m:t>
              </m:r>
              <m:r>
                <m:rPr>
                  <m:sty m:val="p"/>
                </m:rP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r>
                        <w:rPr>
                          <w:rFonts w:ascii="Cambria Math" w:hAnsi="Cambria Math"/>
                          <w:color w:val="000000" w:themeColor="text1"/>
                        </w:rPr>
                        <m:t>1</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e</m:t>
                          </m:r>
                        </m:e>
                        <m:sup>
                          <m:f>
                            <m:fPr>
                              <m:ctrlPr>
                                <w:rPr>
                                  <w:rFonts w:ascii="Cambria Math" w:hAnsi="Cambria Math"/>
                                  <w:color w:val="000000" w:themeColor="text1"/>
                                </w:rPr>
                              </m:ctrlPr>
                            </m:fPr>
                            <m:num>
                              <m:r>
                                <m:rPr>
                                  <m:sty m:val="p"/>
                                </m:rPr>
                                <w:rPr>
                                  <w:rFonts w:ascii="Cambria Math" w:hAnsi="Cambria Math"/>
                                  <w:color w:val="000000" w:themeColor="text1"/>
                                </w:rPr>
                                <m:t>-</m:t>
                              </m:r>
                              <m:r>
                                <w:rPr>
                                  <w:rFonts w:ascii="Cambria Math" w:hAnsi="Cambria Math"/>
                                  <w:color w:val="000000" w:themeColor="text1"/>
                                </w:rPr>
                                <m:t>ln</m:t>
                              </m:r>
                              <m:d>
                                <m:dPr>
                                  <m:ctrlPr>
                                    <w:rPr>
                                      <w:rFonts w:ascii="Cambria Math" w:hAnsi="Cambria Math"/>
                                      <w:color w:val="000000" w:themeColor="text1"/>
                                    </w:rPr>
                                  </m:ctrlPr>
                                </m:dPr>
                                <m:e>
                                  <m:r>
                                    <w:rPr>
                                      <w:rFonts w:ascii="Cambria Math" w:hAnsi="Cambria Math"/>
                                      <w:color w:val="000000" w:themeColor="text1"/>
                                    </w:rPr>
                                    <m:t>19</m:t>
                                  </m:r>
                                </m:e>
                              </m:d>
                              <m:d>
                                <m:dPr>
                                  <m:ctrlPr>
                                    <w:rPr>
                                      <w:rFonts w:ascii="Cambria Math" w:hAnsi="Cambria Math"/>
                                      <w:color w:val="000000" w:themeColor="text1"/>
                                    </w:rPr>
                                  </m:ctrlPr>
                                </m:dPr>
                                <m:e>
                                  <m:r>
                                    <w:rPr>
                                      <w:rFonts w:ascii="Cambria Math" w:hAnsi="Cambria Math"/>
                                      <w:color w:val="000000" w:themeColor="text1"/>
                                    </w:rPr>
                                    <m:t>a</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γ</m:t>
                                      </m:r>
                                    </m:e>
                                    <m:sub>
                                      <m:r>
                                        <w:rPr>
                                          <w:rFonts w:ascii="Cambria Math" w:hAnsi="Cambria Math"/>
                                          <w:color w:val="000000" w:themeColor="text1"/>
                                        </w:rPr>
                                        <m:t>2</m:t>
                                      </m:r>
                                    </m:sub>
                                  </m:sSub>
                                </m:e>
                              </m:d>
                            </m:num>
                            <m:den>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3</m:t>
                                  </m:r>
                                </m:sub>
                              </m:sSub>
                            </m:den>
                          </m:f>
                        </m:sup>
                      </m:sSup>
                    </m:e>
                  </m:d>
                </m:e>
                <m:sup>
                  <m:r>
                    <m:rPr>
                      <m:sty m:val="p"/>
                    </m:rPr>
                    <w:rPr>
                      <w:rFonts w:ascii="Cambria Math" w:hAnsi="Cambria Math"/>
                      <w:color w:val="000000" w:themeColor="text1"/>
                    </w:rPr>
                    <m:t>-</m:t>
                  </m:r>
                  <m:r>
                    <w:rPr>
                      <w:rFonts w:ascii="Cambria Math" w:hAnsi="Cambria Math"/>
                      <w:color w:val="000000" w:themeColor="text1"/>
                    </w:rPr>
                    <m:t>1</m:t>
                  </m:r>
                </m:sup>
              </m:sSup>
            </m:e>
          </m:d>
          <m:sSup>
            <m:sSupPr>
              <m:ctrlPr>
                <w:rPr>
                  <w:rFonts w:ascii="Cambria Math" w:hAnsi="Cambria Math"/>
                  <w:color w:val="000000" w:themeColor="text1"/>
                </w:rPr>
              </m:ctrlPr>
            </m:sSupPr>
            <m:e>
              <m:r>
                <w:rPr>
                  <w:rFonts w:ascii="Cambria Math" w:hAnsi="Cambria Math"/>
                  <w:color w:val="000000" w:themeColor="text1"/>
                </w:rPr>
                <m:t>0.95</m:t>
              </m:r>
            </m:e>
            <m:sup>
              <m:r>
                <m:rPr>
                  <m:sty m:val="p"/>
                </m:rPr>
                <w:rPr>
                  <w:rFonts w:ascii="Cambria Math" w:hAnsi="Cambria Math"/>
                  <w:color w:val="000000" w:themeColor="text1"/>
                </w:rPr>
                <m:t>-</m:t>
              </m:r>
              <m:r>
                <w:rPr>
                  <w:rFonts w:ascii="Cambria Math" w:hAnsi="Cambria Math"/>
                  <w:color w:val="000000" w:themeColor="text1"/>
                </w:rPr>
                <m:t>2</m:t>
              </m:r>
            </m:sup>
          </m:sSup>
        </m:oMath>
      </m:oMathPara>
    </w:p>
    <w:p w14:paraId="63891BED" w14:textId="77777777" w:rsidR="008B44F2" w:rsidRPr="001629F3" w:rsidRDefault="00E13D0D">
      <w:pPr>
        <w:pStyle w:val="BodyText"/>
        <w:rPr>
          <w:color w:val="000000" w:themeColor="text1"/>
        </w:rPr>
      </w:pPr>
      <w:r w:rsidRPr="001629F3">
        <w:rPr>
          <w:color w:val="000000" w:themeColor="text1"/>
        </w:rPr>
        <w:t>with</w:t>
      </w:r>
    </w:p>
    <w:p w14:paraId="1E012EF6" w14:textId="77777777" w:rsidR="008B44F2" w:rsidRPr="001629F3" w:rsidRDefault="00E13D0D">
      <w:pPr>
        <w:pStyle w:val="BodyText"/>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γ</m:t>
              </m:r>
            </m:e>
            <m:sub>
              <m: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oMath>
      </m:oMathPara>
    </w:p>
    <w:p w14:paraId="2E73615E" w14:textId="77777777" w:rsidR="008B44F2" w:rsidRPr="001629F3" w:rsidRDefault="00E13D0D">
      <w:pPr>
        <w:pStyle w:val="BodyText"/>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γ</m:t>
              </m:r>
            </m:e>
            <m:sub>
              <m:r>
                <w:rPr>
                  <w:rFonts w:ascii="Cambria Math" w:hAnsi="Cambria Math"/>
                  <w:color w:val="000000" w:themeColor="text1"/>
                </w:rPr>
                <m:t>2</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γ</m:t>
              </m:r>
            </m:e>
            <m:sub>
              <m: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3</m:t>
              </m:r>
            </m:sub>
          </m:sSub>
        </m:oMath>
      </m:oMathPara>
    </w:p>
    <w:p w14:paraId="1B6B305D" w14:textId="77777777" w:rsidR="008B44F2" w:rsidRPr="001629F3" w:rsidRDefault="00E13D0D">
      <w:pPr>
        <w:pStyle w:val="BodyText"/>
        <w:rPr>
          <w:color w:val="000000" w:themeColor="text1"/>
        </w:rPr>
      </w:pPr>
      <w:r w:rsidRPr="001629F3">
        <w:rPr>
          <w:color w:val="000000" w:themeColor="text1"/>
        </w:rPr>
        <w:t>and</w:t>
      </w:r>
    </w:p>
    <w:p w14:paraId="7A2B11C2" w14:textId="77777777" w:rsidR="008B44F2" w:rsidRPr="001629F3" w:rsidRDefault="00E13D0D">
      <w:pPr>
        <w:pStyle w:val="BodyText"/>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γ</m:t>
            </m:r>
          </m:e>
          <m:sub>
            <m:r>
              <w:rPr>
                <w:rFonts w:ascii="Cambria Math" w:hAnsi="Cambria Math"/>
                <w:color w:val="000000" w:themeColor="text1"/>
              </w:rPr>
              <m:t>1</m:t>
            </m:r>
          </m:sub>
        </m:sSub>
        <m:r>
          <m:rPr>
            <m:sty m:val="p"/>
          </m:rPr>
          <w:rPr>
            <w:rFonts w:ascii="Cambria Math" w:hAnsi="Cambria Math"/>
            <w:color w:val="000000" w:themeColor="text1"/>
          </w:rPr>
          <m:t>=</m:t>
        </m:r>
      </m:oMath>
      <w:r w:rsidRPr="001629F3">
        <w:rPr>
          <w:color w:val="000000" w:themeColor="text1"/>
        </w:rPr>
        <w:t xml:space="preserve"> first (ascending) inflection point of the selectivity </w:t>
      </w:r>
      <w:proofErr w:type="gramStart"/>
      <w:r w:rsidRPr="001629F3">
        <w:rPr>
          <w:color w:val="000000" w:themeColor="text1"/>
        </w:rPr>
        <w:t>function;</w:t>
      </w:r>
      <w:proofErr w:type="gramEnd"/>
    </w:p>
    <w:p w14:paraId="61554599" w14:textId="77777777" w:rsidR="008B44F2" w:rsidRPr="001629F3" w:rsidRDefault="00E13D0D">
      <w:pPr>
        <w:pStyle w:val="BodyText"/>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γ</m:t>
            </m:r>
          </m:e>
          <m:sub>
            <m:r>
              <w:rPr>
                <w:rFonts w:ascii="Cambria Math" w:hAnsi="Cambria Math"/>
                <w:color w:val="000000" w:themeColor="text1"/>
              </w:rPr>
              <m:t>2</m:t>
            </m:r>
          </m:sub>
        </m:sSub>
        <m:r>
          <m:rPr>
            <m:sty m:val="p"/>
          </m:rPr>
          <w:rPr>
            <w:rFonts w:ascii="Cambria Math" w:hAnsi="Cambria Math"/>
            <w:color w:val="000000" w:themeColor="text1"/>
          </w:rPr>
          <m:t>=</m:t>
        </m:r>
      </m:oMath>
      <w:r w:rsidRPr="001629F3">
        <w:rPr>
          <w:color w:val="000000" w:themeColor="text1"/>
        </w:rPr>
        <w:t xml:space="preserve"> second (descending) inflection point of the selectivity </w:t>
      </w:r>
      <w:proofErr w:type="gramStart"/>
      <w:r w:rsidRPr="001629F3">
        <w:rPr>
          <w:color w:val="000000" w:themeColor="text1"/>
        </w:rPr>
        <w:t>function;</w:t>
      </w:r>
      <w:proofErr w:type="gramEnd"/>
    </w:p>
    <w:p w14:paraId="1F5BDDD1" w14:textId="77777777" w:rsidR="008B44F2" w:rsidRPr="001629F3" w:rsidRDefault="00E13D0D">
      <w:pPr>
        <w:pStyle w:val="BodyText"/>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m:rPr>
            <m:sty m:val="p"/>
          </m:rPr>
          <w:rPr>
            <w:rFonts w:ascii="Cambria Math" w:hAnsi="Cambria Math"/>
            <w:color w:val="000000" w:themeColor="text1"/>
          </w:rPr>
          <m:t>=</m:t>
        </m:r>
      </m:oMath>
      <w:r w:rsidRPr="001629F3">
        <w:rPr>
          <w:color w:val="000000" w:themeColor="text1"/>
        </w:rPr>
        <w:t xml:space="preserve"> distance between first inflection point and age at 95% </w:t>
      </w:r>
      <w:proofErr w:type="gramStart"/>
      <w:r w:rsidRPr="001629F3">
        <w:rPr>
          <w:color w:val="000000" w:themeColor="text1"/>
        </w:rPr>
        <w:t>selection;</w:t>
      </w:r>
      <w:proofErr w:type="gramEnd"/>
    </w:p>
    <w:p w14:paraId="22596F99" w14:textId="77777777" w:rsidR="008B44F2" w:rsidRPr="001629F3" w:rsidRDefault="00E13D0D">
      <w:pPr>
        <w:pStyle w:val="BodyText"/>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m:rPr>
            <m:sty m:val="p"/>
          </m:rPr>
          <w:rPr>
            <w:rFonts w:ascii="Cambria Math" w:hAnsi="Cambria Math"/>
            <w:color w:val="000000" w:themeColor="text1"/>
          </w:rPr>
          <m:t>=</m:t>
        </m:r>
      </m:oMath>
      <w:r w:rsidRPr="001629F3">
        <w:rPr>
          <w:color w:val="000000" w:themeColor="text1"/>
        </w:rPr>
        <w:t xml:space="preserve"> parameter to be used with p1 to get first inflection point of the selectivity function; and</w:t>
      </w:r>
    </w:p>
    <w:p w14:paraId="5C1AFDCC" w14:textId="77777777" w:rsidR="008B44F2" w:rsidRPr="001629F3" w:rsidRDefault="00E13D0D">
      <w:pPr>
        <w:pStyle w:val="BodyText"/>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3</m:t>
            </m:r>
          </m:sub>
        </m:sSub>
        <m:r>
          <m:rPr>
            <m:sty m:val="p"/>
          </m:rPr>
          <w:rPr>
            <w:rFonts w:ascii="Cambria Math" w:hAnsi="Cambria Math"/>
            <w:color w:val="000000" w:themeColor="text1"/>
          </w:rPr>
          <m:t>=</m:t>
        </m:r>
      </m:oMath>
      <w:r w:rsidRPr="001629F3">
        <w:rPr>
          <w:color w:val="000000" w:themeColor="text1"/>
        </w:rPr>
        <w:t xml:space="preserve"> second slope of the selectivity function.</w:t>
      </w:r>
    </w:p>
    <w:p w14:paraId="12876450" w14:textId="77777777" w:rsidR="008B44F2" w:rsidRPr="001629F3" w:rsidRDefault="00E13D0D">
      <w:pPr>
        <w:pStyle w:val="BodyText"/>
        <w:rPr>
          <w:color w:val="000000" w:themeColor="text1"/>
        </w:rPr>
      </w:pPr>
      <w:r w:rsidRPr="001629F3">
        <w:rPr>
          <w:color w:val="000000" w:themeColor="text1"/>
        </w:rPr>
        <w:t xml:space="preserve">In this setup, the model implementation was </w:t>
      </w:r>
      <w:proofErr w:type="gramStart"/>
      <w:r w:rsidRPr="001629F3">
        <w:rPr>
          <w:color w:val="000000" w:themeColor="text1"/>
        </w:rPr>
        <w:t>similar to</w:t>
      </w:r>
      <w:proofErr w:type="gramEnd"/>
      <w:r w:rsidRPr="001629F3">
        <w:rPr>
          <w:color w:val="000000" w:themeColor="text1"/>
        </w:rPr>
        <w:t xml:space="preserve"> the non-parametric form where the control file expects the following initial vector</w:t>
      </w:r>
    </w:p>
    <w:p w14:paraId="6F20056F" w14:textId="77777777" w:rsidR="008B44F2" w:rsidRPr="001629F3" w:rsidRDefault="00E13D0D">
      <w:pPr>
        <w:pStyle w:val="SourceCode"/>
        <w:rPr>
          <w:color w:val="000000" w:themeColor="text1"/>
        </w:rPr>
      </w:pPr>
      <w:r w:rsidRPr="001629F3">
        <w:rPr>
          <w:rStyle w:val="VerbatimChar"/>
          <w:color w:val="000000" w:themeColor="text1"/>
        </w:rPr>
        <w:t>3 #Selectivity option (1=non-parametric, 2=logistic, 3=double logistic)</w:t>
      </w:r>
      <w:r w:rsidRPr="001629F3">
        <w:rPr>
          <w:color w:val="000000" w:themeColor="text1"/>
        </w:rPr>
        <w:br/>
      </w:r>
      <w:r w:rsidRPr="001629F3">
        <w:rPr>
          <w:rStyle w:val="VerbatimChar"/>
          <w:color w:val="000000" w:themeColor="text1"/>
        </w:rPr>
        <w:t>9 #Number of selected ages</w:t>
      </w:r>
      <w:r w:rsidRPr="001629F3">
        <w:rPr>
          <w:color w:val="000000" w:themeColor="text1"/>
        </w:rPr>
        <w:br/>
      </w:r>
      <w:r w:rsidRPr="001629F3">
        <w:rPr>
          <w:rStyle w:val="VerbatimChar"/>
          <w:color w:val="000000" w:themeColor="text1"/>
        </w:rPr>
        <w:t>2 #phase of estimation</w:t>
      </w:r>
      <w:r w:rsidRPr="001629F3">
        <w:rPr>
          <w:color w:val="000000" w:themeColor="text1"/>
        </w:rPr>
        <w:br/>
      </w:r>
      <w:r w:rsidRPr="001629F3">
        <w:rPr>
          <w:rStyle w:val="VerbatimChar"/>
          <w:color w:val="000000" w:themeColor="text1"/>
        </w:rPr>
        <w:t>37 #Number of years where selectivity parameters can change</w:t>
      </w:r>
    </w:p>
    <w:p w14:paraId="3A7D7241" w14:textId="77777777" w:rsidR="008B44F2" w:rsidRPr="001629F3" w:rsidRDefault="00E13D0D">
      <w:pPr>
        <w:pStyle w:val="FirstParagraph"/>
        <w:rPr>
          <w:color w:val="000000" w:themeColor="text1"/>
        </w:rPr>
      </w:pPr>
      <w:r w:rsidRPr="001629F3">
        <w:rPr>
          <w:color w:val="000000" w:themeColor="text1"/>
        </w:rPr>
        <w:t>For the 3-parameter double logistic selectivity options, if the number of years allowing for a change is &gt; 0, then vectors specifying the years change can occur is specified, followed by the “allowed” variability (in log space) of the change (like a CV), as with the other options. E.g.,</w:t>
      </w:r>
    </w:p>
    <w:p w14:paraId="7994F60F" w14:textId="77777777" w:rsidR="008B44F2" w:rsidRPr="001629F3" w:rsidRDefault="00E13D0D">
      <w:pPr>
        <w:pStyle w:val="SourceCode"/>
        <w:rPr>
          <w:color w:val="000000" w:themeColor="text1"/>
        </w:rPr>
      </w:pPr>
      <w:r w:rsidRPr="001629F3">
        <w:rPr>
          <w:rStyle w:val="VerbatimChar"/>
          <w:color w:val="000000" w:themeColor="text1"/>
        </w:rPr>
        <w:t>#Years where selectivity parameters can change</w:t>
      </w:r>
      <w:r w:rsidRPr="001629F3">
        <w:rPr>
          <w:color w:val="000000" w:themeColor="text1"/>
        </w:rPr>
        <w:br/>
      </w:r>
      <w:r w:rsidRPr="001629F3">
        <w:rPr>
          <w:rStyle w:val="VerbatimChar"/>
          <w:color w:val="000000" w:themeColor="text1"/>
        </w:rPr>
        <w:t xml:space="preserve">1984 1985 1986 1987 1988 1989 1990 1991 1992 1993 1994 1995 1996 1997 1998 1999 2000 2001 2002 2003 2004 2005 2006 2007 2008 2009 2010 2011 2012 2013 2014 2015 2016 2017 2018 2019 2020 </w:t>
      </w:r>
      <w:r w:rsidRPr="001629F3">
        <w:rPr>
          <w:color w:val="000000" w:themeColor="text1"/>
        </w:rPr>
        <w:br/>
      </w:r>
      <w:r w:rsidRPr="001629F3">
        <w:rPr>
          <w:rStyle w:val="VerbatimChar"/>
          <w:color w:val="000000" w:themeColor="text1"/>
        </w:rPr>
        <w:t># CV of change by year</w:t>
      </w:r>
      <w:r w:rsidRPr="001629F3">
        <w:rPr>
          <w:color w:val="000000" w:themeColor="text1"/>
        </w:rPr>
        <w:br/>
      </w:r>
      <w:r w:rsidRPr="001629F3">
        <w:rPr>
          <w:rStyle w:val="VerbatimChar"/>
          <w:color w:val="000000" w:themeColor="text1"/>
        </w:rPr>
        <w:t xml:space="preserve">0.5 0.5 0.5 0.5 0.5 0.5 0.5 0.5 0.5 0.5 0.5 0.5 0.5 0.5 0.5 0.5 0.5 0.5 0.5 0.5 0.5 0.5 0.5 0.5 0.5 0.5 0.5 0.5 0.5 0.5 0.5 0.5 0.5 0.5 0.5 0.5 0.5 </w:t>
      </w:r>
    </w:p>
    <w:p w14:paraId="62B0A478" w14:textId="77777777" w:rsidR="008B44F2" w:rsidRPr="001629F3" w:rsidRDefault="00E13D0D">
      <w:pPr>
        <w:pStyle w:val="FirstParagraph"/>
        <w:rPr>
          <w:color w:val="000000" w:themeColor="text1"/>
        </w:rPr>
      </w:pPr>
      <w:r w:rsidRPr="001629F3">
        <w:rPr>
          <w:color w:val="000000" w:themeColor="text1"/>
        </w:rPr>
        <w:t>For initial testing, parameter variability was specified to be the same as in the non-parametric form (noting that the latter used age-specific coefficients to describe selectivity patterns by fishery; Butterworth et al. 2003).</w:t>
      </w:r>
    </w:p>
    <w:p w14:paraId="2DA275B9" w14:textId="77777777" w:rsidR="008B44F2" w:rsidRPr="001629F3" w:rsidRDefault="00E13D0D" w:rsidP="00EF3917">
      <w:pPr>
        <w:pStyle w:val="Heading1"/>
      </w:pPr>
      <w:bookmarkStart w:id="4" w:name="results-and-discussion"/>
      <w:bookmarkEnd w:id="1"/>
      <w:bookmarkEnd w:id="3"/>
      <w:r w:rsidRPr="001629F3">
        <w:rPr>
          <w:rStyle w:val="SectionNumber"/>
        </w:rPr>
        <w:t>3</w:t>
      </w:r>
      <w:r w:rsidRPr="001629F3">
        <w:tab/>
        <w:t>Results and discussion</w:t>
      </w:r>
    </w:p>
    <w:p w14:paraId="4C8B03C9" w14:textId="77777777" w:rsidR="008B44F2" w:rsidRPr="001629F3" w:rsidRDefault="00E13D0D" w:rsidP="00EF3917">
      <w:pPr>
        <w:pStyle w:val="Heading2"/>
      </w:pPr>
      <w:bookmarkStart w:id="5" w:name="mcmc-sampling-using-adnuts-r-package"/>
      <w:r w:rsidRPr="001629F3">
        <w:rPr>
          <w:rStyle w:val="SectionNumber"/>
        </w:rPr>
        <w:t>3.1</w:t>
      </w:r>
      <w:r w:rsidRPr="001629F3">
        <w:tab/>
        <w:t>MCMC sampling using adnuts R package</w:t>
      </w:r>
    </w:p>
    <w:p w14:paraId="0C1D1E19" w14:textId="46CC6AD7" w:rsidR="008B44F2" w:rsidRPr="001629F3" w:rsidRDefault="00E13D0D">
      <w:pPr>
        <w:pStyle w:val="FirstParagraph"/>
        <w:rPr>
          <w:color w:val="000000" w:themeColor="text1"/>
        </w:rPr>
      </w:pPr>
      <w:r w:rsidRPr="001629F3">
        <w:rPr>
          <w:color w:val="000000" w:themeColor="text1"/>
        </w:rPr>
        <w:t xml:space="preserve">The posterior sampling commands and results are shown below. Results show that the </w:t>
      </w:r>
      <w:r w:rsidR="00B0741C">
        <w:rPr>
          <w:color w:val="000000" w:themeColor="text1"/>
        </w:rPr>
        <w:t xml:space="preserve">parameters that were the slowest to mix </w:t>
      </w:r>
      <w:r w:rsidRPr="001629F3">
        <w:rPr>
          <w:color w:val="000000" w:themeColor="text1"/>
        </w:rPr>
        <w:t xml:space="preserve">during the MCMC sampling </w:t>
      </w:r>
      <w:r w:rsidR="00B0741C">
        <w:rPr>
          <w:color w:val="000000" w:themeColor="text1"/>
        </w:rPr>
        <w:t xml:space="preserve">were well converged nonetheless </w:t>
      </w:r>
      <w:r w:rsidRPr="001629F3">
        <w:rPr>
          <w:color w:val="000000" w:themeColor="text1"/>
        </w:rPr>
        <w:t>(Fig. 3.1).</w:t>
      </w:r>
      <w:r w:rsidR="00B0741C">
        <w:rPr>
          <w:color w:val="000000" w:themeColor="text1"/>
        </w:rPr>
        <w:t xml:space="preserve"> The box below shows the general steps </w:t>
      </w:r>
      <w:r w:rsidR="00147E57">
        <w:rPr>
          <w:color w:val="000000" w:themeColor="text1"/>
        </w:rPr>
        <w:t>(in R) of executing a model set up in a “test” directory.</w:t>
      </w:r>
    </w:p>
    <w:p w14:paraId="54186405" w14:textId="3AB3D229" w:rsidR="008B44F2" w:rsidRPr="001629F3" w:rsidRDefault="00E13D0D">
      <w:pPr>
        <w:pStyle w:val="SourceCode"/>
        <w:rPr>
          <w:color w:val="000000" w:themeColor="text1"/>
        </w:rPr>
      </w:pPr>
      <w:r w:rsidRPr="001629F3">
        <w:rPr>
          <w:rStyle w:val="CommentTok"/>
          <w:color w:val="000000" w:themeColor="text1"/>
        </w:rPr>
        <w:t># Model name</w:t>
      </w:r>
      <w:r w:rsidRPr="001629F3">
        <w:rPr>
          <w:color w:val="000000" w:themeColor="text1"/>
        </w:rPr>
        <w:br/>
      </w:r>
      <w:r w:rsidRPr="001629F3">
        <w:rPr>
          <w:rStyle w:val="NormalTok"/>
          <w:color w:val="000000" w:themeColor="text1"/>
        </w:rPr>
        <w:t xml:space="preserve">m </w:t>
      </w:r>
      <w:r w:rsidRPr="001629F3">
        <w:rPr>
          <w:rStyle w:val="OtherTok"/>
          <w:color w:val="000000" w:themeColor="text1"/>
        </w:rPr>
        <w:t>&lt;-</w:t>
      </w:r>
      <w:r w:rsidRPr="001629F3">
        <w:rPr>
          <w:rStyle w:val="NormalTok"/>
          <w:color w:val="000000" w:themeColor="text1"/>
        </w:rPr>
        <w:t xml:space="preserve"> </w:t>
      </w:r>
      <w:r w:rsidRPr="001629F3">
        <w:rPr>
          <w:rStyle w:val="StringTok"/>
          <w:color w:val="000000" w:themeColor="text1"/>
        </w:rPr>
        <w:t>'./jjms'</w:t>
      </w:r>
      <w:r w:rsidRPr="001629F3">
        <w:rPr>
          <w:color w:val="000000" w:themeColor="text1"/>
        </w:rPr>
        <w:br/>
      </w:r>
      <w:r w:rsidRPr="001629F3">
        <w:rPr>
          <w:rStyle w:val="CommentTok"/>
          <w:color w:val="000000" w:themeColor="text1"/>
        </w:rPr>
        <w:t xml:space="preserve"># Directory  </w:t>
      </w:r>
      <w:r w:rsidRPr="001629F3">
        <w:rPr>
          <w:color w:val="000000" w:themeColor="text1"/>
        </w:rPr>
        <w:br/>
      </w:r>
      <w:r w:rsidRPr="001629F3">
        <w:rPr>
          <w:rStyle w:val="NormalTok"/>
          <w:color w:val="000000" w:themeColor="text1"/>
        </w:rPr>
        <w:t xml:space="preserve">d </w:t>
      </w:r>
      <w:r w:rsidRPr="001629F3">
        <w:rPr>
          <w:rStyle w:val="OtherTok"/>
          <w:color w:val="000000" w:themeColor="text1"/>
        </w:rPr>
        <w:t>&lt;-</w:t>
      </w:r>
      <w:r w:rsidRPr="001629F3">
        <w:rPr>
          <w:rStyle w:val="NormalTok"/>
          <w:color w:val="000000" w:themeColor="text1"/>
        </w:rPr>
        <w:t xml:space="preserve"> </w:t>
      </w:r>
      <w:r w:rsidRPr="001629F3">
        <w:rPr>
          <w:rStyle w:val="StringTok"/>
          <w:color w:val="000000" w:themeColor="text1"/>
        </w:rPr>
        <w:t>'test'</w:t>
      </w:r>
      <w:r w:rsidRPr="001629F3">
        <w:rPr>
          <w:color w:val="000000" w:themeColor="text1"/>
        </w:rPr>
        <w:br/>
      </w:r>
      <w:r w:rsidRPr="001629F3">
        <w:rPr>
          <w:rStyle w:val="CommentTok"/>
          <w:color w:val="000000" w:themeColor="text1"/>
        </w:rPr>
        <w:t>#setwd(d)</w:t>
      </w:r>
      <w:r w:rsidRPr="001629F3">
        <w:rPr>
          <w:color w:val="000000" w:themeColor="text1"/>
        </w:rPr>
        <w:br/>
      </w:r>
      <w:r w:rsidRPr="001629F3">
        <w:rPr>
          <w:rStyle w:val="CommentTok"/>
          <w:color w:val="000000" w:themeColor="text1"/>
        </w:rPr>
        <w:t>#system(paste(m, '-nox -iprint 200 -hbf 1'))</w:t>
      </w:r>
      <w:r w:rsidRPr="001629F3">
        <w:rPr>
          <w:color w:val="000000" w:themeColor="text1"/>
        </w:rPr>
        <w:br/>
      </w:r>
      <w:r w:rsidRPr="001629F3">
        <w:rPr>
          <w:rStyle w:val="CommentTok"/>
          <w:color w:val="000000" w:themeColor="text1"/>
        </w:rPr>
        <w:t>#setwd('..')</w:t>
      </w:r>
      <w:r w:rsidRPr="001629F3">
        <w:rPr>
          <w:color w:val="000000" w:themeColor="text1"/>
        </w:rPr>
        <w:br/>
      </w:r>
      <w:r w:rsidRPr="001629F3">
        <w:rPr>
          <w:rStyle w:val="NormalTok"/>
          <w:color w:val="000000" w:themeColor="text1"/>
        </w:rPr>
        <w:t xml:space="preserve">iter </w:t>
      </w:r>
      <w:r w:rsidRPr="001629F3">
        <w:rPr>
          <w:rStyle w:val="OtherTok"/>
          <w:color w:val="000000" w:themeColor="text1"/>
        </w:rPr>
        <w:t>&lt;-</w:t>
      </w:r>
      <w:r w:rsidRPr="001629F3">
        <w:rPr>
          <w:rStyle w:val="NormalTok"/>
          <w:color w:val="000000" w:themeColor="text1"/>
        </w:rPr>
        <w:t xml:space="preserve"> </w:t>
      </w:r>
      <w:r w:rsidR="00B0741C">
        <w:rPr>
          <w:rStyle w:val="DecValTok"/>
          <w:color w:val="000000" w:themeColor="text1"/>
        </w:rPr>
        <w:t>2</w:t>
      </w:r>
      <w:r w:rsidRPr="001629F3">
        <w:rPr>
          <w:rStyle w:val="DecValTok"/>
          <w:color w:val="000000" w:themeColor="text1"/>
        </w:rPr>
        <w:t>000</w:t>
      </w:r>
      <w:r w:rsidRPr="001629F3">
        <w:rPr>
          <w:rStyle w:val="NormalTok"/>
          <w:color w:val="000000" w:themeColor="text1"/>
        </w:rPr>
        <w:t xml:space="preserve"> </w:t>
      </w:r>
      <w:r w:rsidRPr="001629F3">
        <w:rPr>
          <w:rStyle w:val="CommentTok"/>
          <w:color w:val="000000" w:themeColor="text1"/>
        </w:rPr>
        <w:t xml:space="preserve"># </w:t>
      </w:r>
      <w:r w:rsidR="00B0741C">
        <w:rPr>
          <w:rStyle w:val="CommentTok"/>
          <w:color w:val="000000" w:themeColor="text1"/>
        </w:rPr>
        <w:t xml:space="preserve">with </w:t>
      </w:r>
      <w:r w:rsidRPr="001629F3">
        <w:rPr>
          <w:rStyle w:val="CommentTok"/>
          <w:color w:val="000000" w:themeColor="text1"/>
        </w:rPr>
        <w:t>8</w:t>
      </w:r>
      <w:r w:rsidR="00B0741C">
        <w:rPr>
          <w:rStyle w:val="CommentTok"/>
          <w:color w:val="000000" w:themeColor="text1"/>
        </w:rPr>
        <w:t xml:space="preserve"> cores/chains</w:t>
      </w:r>
      <w:r w:rsidRPr="001629F3">
        <w:rPr>
          <w:rStyle w:val="CommentTok"/>
          <w:color w:val="000000" w:themeColor="text1"/>
        </w:rPr>
        <w:t>...</w:t>
      </w:r>
      <w:r w:rsidRPr="001629F3">
        <w:rPr>
          <w:color w:val="000000" w:themeColor="text1"/>
        </w:rPr>
        <w:br/>
      </w:r>
      <w:r w:rsidRPr="001629F3">
        <w:rPr>
          <w:rStyle w:val="NormalTok"/>
          <w:color w:val="000000" w:themeColor="text1"/>
        </w:rPr>
        <w:t>chains</w:t>
      </w:r>
      <w:r w:rsidRPr="001629F3">
        <w:rPr>
          <w:rStyle w:val="OtherTok"/>
          <w:color w:val="000000" w:themeColor="text1"/>
        </w:rPr>
        <w:t>=</w:t>
      </w:r>
      <w:r w:rsidRPr="001629F3">
        <w:rPr>
          <w:rStyle w:val="DecValTok"/>
          <w:color w:val="000000" w:themeColor="text1"/>
        </w:rPr>
        <w:t>8</w:t>
      </w:r>
      <w:r w:rsidR="00B0741C">
        <w:rPr>
          <w:rStyle w:val="DecValTok"/>
          <w:color w:val="000000" w:themeColor="text1"/>
        </w:rPr>
        <w:br/>
        <w:t xml:space="preserve"># </w:t>
      </w:r>
      <w:r w:rsidR="00B0741C" w:rsidRPr="00B0741C">
        <w:rPr>
          <w:rStyle w:val="DecValTok"/>
          <w:i/>
          <w:iCs/>
          <w:color w:val="000000" w:themeColor="text1"/>
        </w:rPr>
        <w:t>not run</w:t>
      </w:r>
      <w:r w:rsidRPr="001629F3">
        <w:rPr>
          <w:color w:val="000000" w:themeColor="text1"/>
        </w:rPr>
        <w:br/>
      </w:r>
      <w:r w:rsidRPr="001629F3">
        <w:rPr>
          <w:rStyle w:val="CommentTok"/>
          <w:color w:val="000000" w:themeColor="text1"/>
        </w:rPr>
        <w:t xml:space="preserve">#fit.mle &lt;- </w:t>
      </w:r>
      <w:proofErr w:type="spellStart"/>
      <w:r w:rsidRPr="001629F3">
        <w:rPr>
          <w:rStyle w:val="CommentTok"/>
          <w:color w:val="000000" w:themeColor="text1"/>
        </w:rPr>
        <w:t>sample_nuts</w:t>
      </w:r>
      <w:proofErr w:type="spellEnd"/>
      <w:r w:rsidRPr="001629F3">
        <w:rPr>
          <w:rStyle w:val="CommentTok"/>
          <w:color w:val="000000" w:themeColor="text1"/>
        </w:rPr>
        <w:t xml:space="preserve">(model=m, path=d, </w:t>
      </w:r>
      <w:proofErr w:type="spellStart"/>
      <w:r w:rsidRPr="001629F3">
        <w:rPr>
          <w:rStyle w:val="CommentTok"/>
          <w:color w:val="000000" w:themeColor="text1"/>
        </w:rPr>
        <w:t>iter</w:t>
      </w:r>
      <w:proofErr w:type="spellEnd"/>
      <w:r w:rsidRPr="001629F3">
        <w:rPr>
          <w:rStyle w:val="CommentTok"/>
          <w:color w:val="000000" w:themeColor="text1"/>
        </w:rPr>
        <w:t>=</w:t>
      </w:r>
      <w:proofErr w:type="spellStart"/>
      <w:r w:rsidRPr="001629F3">
        <w:rPr>
          <w:rStyle w:val="CommentTok"/>
          <w:color w:val="000000" w:themeColor="text1"/>
        </w:rPr>
        <w:t>iter</w:t>
      </w:r>
      <w:proofErr w:type="spellEnd"/>
      <w:r w:rsidRPr="001629F3">
        <w:rPr>
          <w:rStyle w:val="CommentTok"/>
          <w:color w:val="000000" w:themeColor="text1"/>
        </w:rPr>
        <w:t>, warmup=</w:t>
      </w:r>
      <w:proofErr w:type="spellStart"/>
      <w:r w:rsidRPr="001629F3">
        <w:rPr>
          <w:rStyle w:val="CommentTok"/>
          <w:color w:val="000000" w:themeColor="text1"/>
        </w:rPr>
        <w:t>iter</w:t>
      </w:r>
      <w:proofErr w:type="spellEnd"/>
      <w:r w:rsidRPr="001629F3">
        <w:rPr>
          <w:rStyle w:val="CommentTok"/>
          <w:color w:val="000000" w:themeColor="text1"/>
        </w:rPr>
        <w:t xml:space="preserve">/4, </w:t>
      </w:r>
      <w:r w:rsidRPr="001629F3">
        <w:rPr>
          <w:color w:val="000000" w:themeColor="text1"/>
        </w:rPr>
        <w:br/>
      </w:r>
      <w:r w:rsidRPr="001629F3">
        <w:rPr>
          <w:rStyle w:val="CommentTok"/>
          <w:color w:val="000000" w:themeColor="text1"/>
        </w:rPr>
        <w:t>#                   chains=chains, cores=chains, control=list(</w:t>
      </w:r>
      <w:proofErr w:type="spellStart"/>
      <w:r w:rsidRPr="001629F3">
        <w:rPr>
          <w:rStyle w:val="CommentTok"/>
          <w:color w:val="000000" w:themeColor="text1"/>
        </w:rPr>
        <w:t>adapt_delta</w:t>
      </w:r>
      <w:proofErr w:type="spellEnd"/>
      <w:r w:rsidRPr="001629F3">
        <w:rPr>
          <w:rStyle w:val="CommentTok"/>
          <w:color w:val="000000" w:themeColor="text1"/>
        </w:rPr>
        <w:t>=.9,metric='</w:t>
      </w:r>
      <w:proofErr w:type="spellStart"/>
      <w:r w:rsidRPr="001629F3">
        <w:rPr>
          <w:rStyle w:val="CommentTok"/>
          <w:color w:val="000000" w:themeColor="text1"/>
        </w:rPr>
        <w:t>mle</w:t>
      </w:r>
      <w:proofErr w:type="spellEnd"/>
      <w:r w:rsidRPr="001629F3">
        <w:rPr>
          <w:rStyle w:val="CommentTok"/>
          <w:color w:val="000000" w:themeColor="text1"/>
        </w:rPr>
        <w:t>'))</w:t>
      </w:r>
      <w:r w:rsidRPr="001629F3">
        <w:rPr>
          <w:color w:val="000000" w:themeColor="text1"/>
        </w:rPr>
        <w:br/>
      </w:r>
      <w:r w:rsidRPr="001629F3">
        <w:rPr>
          <w:rStyle w:val="CommentTok"/>
          <w:color w:val="000000" w:themeColor="text1"/>
        </w:rPr>
        <w:t>#saveRDS(fit.mle,"test/fit.mle.RDS")</w:t>
      </w:r>
      <w:r w:rsidRPr="001629F3">
        <w:rPr>
          <w:color w:val="000000" w:themeColor="text1"/>
        </w:rPr>
        <w:br/>
      </w:r>
      <w:r w:rsidR="00B0741C">
        <w:rPr>
          <w:rStyle w:val="NormalTok"/>
          <w:color w:val="000000" w:themeColor="text1"/>
        </w:rPr>
        <w:t># Load run</w:t>
      </w:r>
      <w:r w:rsidR="00B0741C">
        <w:rPr>
          <w:rStyle w:val="NormalTok"/>
          <w:color w:val="000000" w:themeColor="text1"/>
        </w:rPr>
        <w:br/>
      </w:r>
      <w:proofErr w:type="spellStart"/>
      <w:r w:rsidRPr="001629F3">
        <w:rPr>
          <w:rStyle w:val="NormalTok"/>
          <w:color w:val="000000" w:themeColor="text1"/>
        </w:rPr>
        <w:t>fit.mle</w:t>
      </w:r>
      <w:proofErr w:type="spellEnd"/>
      <w:r w:rsidRPr="001629F3">
        <w:rPr>
          <w:rStyle w:val="NormalTok"/>
          <w:color w:val="000000" w:themeColor="text1"/>
        </w:rPr>
        <w:t xml:space="preserve"> </w:t>
      </w:r>
      <w:r w:rsidRPr="001629F3">
        <w:rPr>
          <w:rStyle w:val="OtherTok"/>
          <w:color w:val="000000" w:themeColor="text1"/>
        </w:rPr>
        <w:t>&lt;-</w:t>
      </w:r>
      <w:r w:rsidRPr="001629F3">
        <w:rPr>
          <w:rStyle w:val="NormalTok"/>
          <w:color w:val="000000" w:themeColor="text1"/>
        </w:rPr>
        <w:t xml:space="preserve"> </w:t>
      </w:r>
      <w:proofErr w:type="spellStart"/>
      <w:r w:rsidRPr="001629F3">
        <w:rPr>
          <w:rStyle w:val="FunctionTok"/>
          <w:color w:val="000000" w:themeColor="text1"/>
        </w:rPr>
        <w:t>readRDS</w:t>
      </w:r>
      <w:proofErr w:type="spellEnd"/>
      <w:r w:rsidRPr="001629F3">
        <w:rPr>
          <w:rStyle w:val="NormalTok"/>
          <w:color w:val="000000" w:themeColor="text1"/>
        </w:rPr>
        <w:t>(</w:t>
      </w:r>
      <w:r w:rsidRPr="001629F3">
        <w:rPr>
          <w:rStyle w:val="FunctionTok"/>
          <w:color w:val="000000" w:themeColor="text1"/>
        </w:rPr>
        <w:t>here</w:t>
      </w:r>
      <w:r w:rsidRPr="001629F3">
        <w:rPr>
          <w:rStyle w:val="NormalTok"/>
          <w:color w:val="000000" w:themeColor="text1"/>
        </w:rPr>
        <w:t>(</w:t>
      </w:r>
      <w:r w:rsidRPr="001629F3">
        <w:rPr>
          <w:rStyle w:val="StringTok"/>
          <w:color w:val="000000" w:themeColor="text1"/>
        </w:rPr>
        <w:t>"</w:t>
      </w:r>
      <w:proofErr w:type="spellStart"/>
      <w:r w:rsidRPr="001629F3">
        <w:rPr>
          <w:rStyle w:val="StringTok"/>
          <w:color w:val="000000" w:themeColor="text1"/>
        </w:rPr>
        <w:t>fit.mle.RDS</w:t>
      </w:r>
      <w:proofErr w:type="spellEnd"/>
      <w:r w:rsidRPr="001629F3">
        <w:rPr>
          <w:rStyle w:val="StringTok"/>
          <w:color w:val="000000" w:themeColor="text1"/>
        </w:rPr>
        <w:t>"</w:t>
      </w:r>
      <w:r w:rsidRPr="001629F3">
        <w:rPr>
          <w:rStyle w:val="NormalTok"/>
          <w:color w:val="000000" w:themeColor="text1"/>
        </w:rPr>
        <w:t>))</w:t>
      </w:r>
      <w:r w:rsidRPr="001629F3">
        <w:rPr>
          <w:color w:val="000000" w:themeColor="text1"/>
        </w:rPr>
        <w:br/>
      </w:r>
      <w:proofErr w:type="spellStart"/>
      <w:r w:rsidRPr="001629F3">
        <w:rPr>
          <w:rStyle w:val="NormalTok"/>
          <w:color w:val="000000" w:themeColor="text1"/>
        </w:rPr>
        <w:t>adnuts</w:t>
      </w:r>
      <w:proofErr w:type="spellEnd"/>
      <w:r w:rsidRPr="001629F3">
        <w:rPr>
          <w:rStyle w:val="SpecialCharTok"/>
          <w:color w:val="000000" w:themeColor="text1"/>
        </w:rPr>
        <w:t>::</w:t>
      </w:r>
      <w:proofErr w:type="spellStart"/>
      <w:r w:rsidRPr="001629F3">
        <w:rPr>
          <w:rStyle w:val="FunctionTok"/>
          <w:color w:val="000000" w:themeColor="text1"/>
        </w:rPr>
        <w:t>pairs_admb</w:t>
      </w:r>
      <w:proofErr w:type="spellEnd"/>
      <w:r w:rsidRPr="001629F3">
        <w:rPr>
          <w:rStyle w:val="NormalTok"/>
          <w:color w:val="000000" w:themeColor="text1"/>
        </w:rPr>
        <w:t>(</w:t>
      </w:r>
      <w:proofErr w:type="spellStart"/>
      <w:r w:rsidRPr="001629F3">
        <w:rPr>
          <w:rStyle w:val="NormalTok"/>
          <w:color w:val="000000" w:themeColor="text1"/>
        </w:rPr>
        <w:t>fit.mle</w:t>
      </w:r>
      <w:proofErr w:type="spellEnd"/>
      <w:r w:rsidRPr="001629F3">
        <w:rPr>
          <w:rStyle w:val="NormalTok"/>
          <w:color w:val="000000" w:themeColor="text1"/>
        </w:rPr>
        <w:t xml:space="preserve">, </w:t>
      </w:r>
      <w:r w:rsidRPr="001629F3">
        <w:rPr>
          <w:rStyle w:val="AttributeTok"/>
          <w:color w:val="000000" w:themeColor="text1"/>
        </w:rPr>
        <w:t>pars=</w:t>
      </w:r>
      <w:r w:rsidRPr="001629F3">
        <w:rPr>
          <w:rStyle w:val="DecValTok"/>
          <w:color w:val="000000" w:themeColor="text1"/>
        </w:rPr>
        <w:t>1</w:t>
      </w:r>
      <w:r w:rsidRPr="001629F3">
        <w:rPr>
          <w:rStyle w:val="SpecialCharTok"/>
          <w:color w:val="000000" w:themeColor="text1"/>
        </w:rPr>
        <w:t>:</w:t>
      </w:r>
      <w:r w:rsidRPr="001629F3">
        <w:rPr>
          <w:rStyle w:val="DecValTok"/>
          <w:color w:val="000000" w:themeColor="text1"/>
        </w:rPr>
        <w:t>6</w:t>
      </w:r>
      <w:r w:rsidRPr="001629F3">
        <w:rPr>
          <w:rStyle w:val="NormalTok"/>
          <w:color w:val="000000" w:themeColor="text1"/>
        </w:rPr>
        <w:t xml:space="preserve">, </w:t>
      </w:r>
      <w:r w:rsidRPr="001629F3">
        <w:rPr>
          <w:rStyle w:val="AttributeTok"/>
          <w:color w:val="000000" w:themeColor="text1"/>
        </w:rPr>
        <w:t>order=</w:t>
      </w:r>
      <w:r w:rsidRPr="001629F3">
        <w:rPr>
          <w:rStyle w:val="StringTok"/>
          <w:color w:val="000000" w:themeColor="text1"/>
        </w:rPr>
        <w:t>'slow'</w:t>
      </w:r>
      <w:r w:rsidRPr="001629F3">
        <w:rPr>
          <w:rStyle w:val="NormalTok"/>
          <w:color w:val="000000" w:themeColor="text1"/>
        </w:rPr>
        <w:t>)</w:t>
      </w:r>
    </w:p>
    <w:p w14:paraId="46C203D6" w14:textId="77777777" w:rsidR="008B44F2" w:rsidRPr="001629F3" w:rsidRDefault="00E13D0D">
      <w:pPr>
        <w:pStyle w:val="CaptionedFigure"/>
        <w:rPr>
          <w:color w:val="000000" w:themeColor="text1"/>
        </w:rPr>
      </w:pPr>
      <w:r w:rsidRPr="001629F3">
        <w:rPr>
          <w:noProof/>
          <w:color w:val="000000" w:themeColor="text1"/>
        </w:rPr>
        <w:drawing>
          <wp:inline distT="0" distB="0" distL="0" distR="0" wp14:anchorId="4680D99B" wp14:editId="5828DCDC">
            <wp:extent cx="5334000" cy="4445000"/>
            <wp:effectExtent l="0" t="0" r="0" b="0"/>
            <wp:docPr id="25" name="Picture" descr="Figure 3.1: Results from the jjm model run with the adnuts package showing the six slowest mixing parameters."/>
            <wp:cNvGraphicFramePr/>
            <a:graphic xmlns:a="http://schemas.openxmlformats.org/drawingml/2006/main">
              <a:graphicData uri="http://schemas.openxmlformats.org/drawingml/2006/picture">
                <pic:pic xmlns:pic="http://schemas.openxmlformats.org/drawingml/2006/picture">
                  <pic:nvPicPr>
                    <pic:cNvPr id="26" name="Picture" descr="Uncertainty_files/figure-docx/mcpairs-1.png"/>
                    <pic:cNvPicPr>
                      <a:picLocks noChangeAspect="1" noChangeArrowheads="1"/>
                    </pic:cNvPicPr>
                  </pic:nvPicPr>
                  <pic:blipFill>
                    <a:blip r:embed="rId10"/>
                    <a:stretch>
                      <a:fillRect/>
                    </a:stretch>
                  </pic:blipFill>
                  <pic:spPr bwMode="auto">
                    <a:xfrm>
                      <a:off x="0" y="0"/>
                      <a:ext cx="5334000" cy="4445000"/>
                    </a:xfrm>
                    <a:prstGeom prst="rect">
                      <a:avLst/>
                    </a:prstGeom>
                    <a:noFill/>
                    <a:ln w="9525">
                      <a:noFill/>
                      <a:headEnd/>
                      <a:tailEnd/>
                    </a:ln>
                  </pic:spPr>
                </pic:pic>
              </a:graphicData>
            </a:graphic>
          </wp:inline>
        </w:drawing>
      </w:r>
    </w:p>
    <w:p w14:paraId="1C19F16D" w14:textId="77777777" w:rsidR="008B44F2" w:rsidRPr="001629F3" w:rsidRDefault="00E13D0D">
      <w:pPr>
        <w:pStyle w:val="ImageCaption"/>
        <w:rPr>
          <w:color w:val="000000" w:themeColor="text1"/>
        </w:rPr>
      </w:pPr>
      <w:r w:rsidRPr="001629F3">
        <w:rPr>
          <w:color w:val="000000" w:themeColor="text1"/>
        </w:rPr>
        <w:t>Figure 3.1: Results from the jjm model run with the adnuts package showing the six slowest mixing parameters.</w:t>
      </w:r>
    </w:p>
    <w:p w14:paraId="2A4F9D6B" w14:textId="06CCC5CE" w:rsidR="008B44F2" w:rsidRPr="001629F3" w:rsidRDefault="00AF3175">
      <w:pPr>
        <w:pStyle w:val="BodyText"/>
        <w:rPr>
          <w:color w:val="000000" w:themeColor="text1"/>
        </w:rPr>
      </w:pPr>
      <w:r>
        <w:rPr>
          <w:color w:val="000000" w:themeColor="text1"/>
        </w:rPr>
        <w:t>Based on diagnostic plots on MCMC sampling, executing the following command</w:t>
      </w:r>
      <w:r w:rsidR="00E73CFF">
        <w:rPr>
          <w:color w:val="000000" w:themeColor="text1"/>
        </w:rPr>
        <w:t>:</w:t>
      </w:r>
    </w:p>
    <w:p w14:paraId="4B56DBE6" w14:textId="77777777" w:rsidR="008B44F2" w:rsidRPr="001629F3" w:rsidRDefault="00E13D0D">
      <w:pPr>
        <w:pStyle w:val="SourceCode"/>
        <w:rPr>
          <w:color w:val="000000" w:themeColor="text1"/>
        </w:rPr>
      </w:pPr>
      <w:proofErr w:type="gramStart"/>
      <w:r w:rsidRPr="001629F3">
        <w:rPr>
          <w:rStyle w:val="NormalTok"/>
          <w:color w:val="000000" w:themeColor="text1"/>
        </w:rPr>
        <w:t>adnuts</w:t>
      </w:r>
      <w:r w:rsidRPr="001629F3">
        <w:rPr>
          <w:rStyle w:val="SpecialCharTok"/>
          <w:color w:val="000000" w:themeColor="text1"/>
        </w:rPr>
        <w:t>::</w:t>
      </w:r>
      <w:proofErr w:type="gramEnd"/>
      <w:r w:rsidRPr="001629F3">
        <w:rPr>
          <w:rStyle w:val="FunctionTok"/>
          <w:color w:val="000000" w:themeColor="text1"/>
        </w:rPr>
        <w:t>plot_sampler_params</w:t>
      </w:r>
      <w:r w:rsidRPr="001629F3">
        <w:rPr>
          <w:rStyle w:val="NormalTok"/>
          <w:color w:val="000000" w:themeColor="text1"/>
        </w:rPr>
        <w:t>(fit.mle)</w:t>
      </w:r>
    </w:p>
    <w:p w14:paraId="511001F9" w14:textId="77777777" w:rsidR="00E4787C" w:rsidRDefault="00E73CFF" w:rsidP="00E4787C">
      <w:pPr>
        <w:pStyle w:val="BodyText"/>
        <w:rPr>
          <w:color w:val="000000" w:themeColor="text1"/>
        </w:rPr>
      </w:pPr>
      <w:r>
        <w:rPr>
          <w:color w:val="000000" w:themeColor="text1"/>
        </w:rPr>
        <w:t xml:space="preserve">shows </w:t>
      </w:r>
      <w:r w:rsidR="00AF3175">
        <w:rPr>
          <w:color w:val="000000" w:themeColor="text1"/>
        </w:rPr>
        <w:t>favorable mixing and that the posterior is reasonably represented</w:t>
      </w:r>
      <w:r w:rsidRPr="001629F3">
        <w:rPr>
          <w:color w:val="000000" w:themeColor="text1"/>
        </w:rPr>
        <w:t xml:space="preserve"> (Fig. 3.2).</w:t>
      </w:r>
      <w:r w:rsidR="00E4787C">
        <w:rPr>
          <w:color w:val="000000" w:themeColor="text1"/>
        </w:rPr>
        <w:t xml:space="preserve"> For Jack mackerel, we rely on asymptotic approximations to the uncertainty in estimates. Consequently, comparing t</w:t>
      </w:r>
      <w:r w:rsidR="00E4787C" w:rsidRPr="001629F3">
        <w:rPr>
          <w:color w:val="000000" w:themeColor="text1"/>
        </w:rPr>
        <w:t>he</w:t>
      </w:r>
      <w:r w:rsidR="00E4787C">
        <w:rPr>
          <w:color w:val="000000" w:themeColor="text1"/>
        </w:rPr>
        <w:t>se to the</w:t>
      </w:r>
      <w:r w:rsidR="00E4787C" w:rsidRPr="001629F3">
        <w:rPr>
          <w:color w:val="000000" w:themeColor="text1"/>
        </w:rPr>
        <w:t xml:space="preserve"> marginal standard errors of estimates from the MCMC sampling </w:t>
      </w:r>
      <w:r w:rsidR="00E4787C">
        <w:rPr>
          <w:color w:val="000000" w:themeColor="text1"/>
        </w:rPr>
        <w:t>of the posterior distribution is useful. A plot from the package command:</w:t>
      </w:r>
    </w:p>
    <w:p w14:paraId="7C3C76A9" w14:textId="77777777" w:rsidR="00E4787C" w:rsidRPr="001629F3" w:rsidRDefault="00E4787C" w:rsidP="00E4787C">
      <w:pPr>
        <w:pStyle w:val="SourceCode"/>
        <w:rPr>
          <w:color w:val="000000" w:themeColor="text1"/>
        </w:rPr>
      </w:pPr>
      <w:proofErr w:type="spellStart"/>
      <w:proofErr w:type="gramStart"/>
      <w:r w:rsidRPr="001629F3">
        <w:rPr>
          <w:rStyle w:val="NormalTok"/>
          <w:color w:val="000000" w:themeColor="text1"/>
        </w:rPr>
        <w:t>adnuts</w:t>
      </w:r>
      <w:proofErr w:type="spellEnd"/>
      <w:r w:rsidRPr="001629F3">
        <w:rPr>
          <w:rStyle w:val="SpecialCharTok"/>
          <w:color w:val="000000" w:themeColor="text1"/>
        </w:rPr>
        <w:t>::</w:t>
      </w:r>
      <w:proofErr w:type="spellStart"/>
      <w:proofErr w:type="gramEnd"/>
      <w:r w:rsidRPr="001629F3">
        <w:rPr>
          <w:rStyle w:val="FunctionTok"/>
          <w:color w:val="000000" w:themeColor="text1"/>
        </w:rPr>
        <w:t>plot_uncertainties</w:t>
      </w:r>
      <w:proofErr w:type="spellEnd"/>
      <w:r w:rsidRPr="001629F3">
        <w:rPr>
          <w:rStyle w:val="NormalTok"/>
          <w:color w:val="000000" w:themeColor="text1"/>
        </w:rPr>
        <w:t>(</w:t>
      </w:r>
      <w:proofErr w:type="spellStart"/>
      <w:r w:rsidRPr="001629F3">
        <w:rPr>
          <w:rStyle w:val="NormalTok"/>
          <w:color w:val="000000" w:themeColor="text1"/>
        </w:rPr>
        <w:t>fit.mle</w:t>
      </w:r>
      <w:proofErr w:type="spellEnd"/>
      <w:r w:rsidRPr="001629F3">
        <w:rPr>
          <w:rStyle w:val="NormalTok"/>
          <w:color w:val="000000" w:themeColor="text1"/>
        </w:rPr>
        <w:t>)</w:t>
      </w:r>
    </w:p>
    <w:p w14:paraId="25E9489E" w14:textId="5A82C059" w:rsidR="00E4787C" w:rsidRPr="001629F3" w:rsidRDefault="00E4787C" w:rsidP="00E4787C">
      <w:pPr>
        <w:pStyle w:val="BodyText"/>
        <w:rPr>
          <w:color w:val="000000" w:themeColor="text1"/>
        </w:rPr>
      </w:pPr>
      <w:r>
        <w:rPr>
          <w:color w:val="000000" w:themeColor="text1"/>
        </w:rPr>
        <w:t>shows good similarity between the asymptotic approximation and the full marginal distribution</w:t>
      </w:r>
      <w:r w:rsidRPr="001629F3">
        <w:rPr>
          <w:color w:val="000000" w:themeColor="text1"/>
        </w:rPr>
        <w:t xml:space="preserve"> (Fig. 3.3).</w:t>
      </w:r>
    </w:p>
    <w:p w14:paraId="088C8F23" w14:textId="36A129F4" w:rsidR="00E73CFF" w:rsidRPr="001629F3" w:rsidRDefault="00E73CFF" w:rsidP="00E73CFF">
      <w:pPr>
        <w:pStyle w:val="BodyText"/>
        <w:rPr>
          <w:color w:val="000000" w:themeColor="text1"/>
        </w:rPr>
      </w:pPr>
    </w:p>
    <w:p w14:paraId="5E3EF213" w14:textId="77777777" w:rsidR="008B44F2" w:rsidRPr="001629F3" w:rsidRDefault="00E13D0D">
      <w:pPr>
        <w:pStyle w:val="CaptionedFigure"/>
        <w:rPr>
          <w:color w:val="000000" w:themeColor="text1"/>
        </w:rPr>
      </w:pPr>
      <w:r w:rsidRPr="001629F3">
        <w:rPr>
          <w:noProof/>
          <w:color w:val="000000" w:themeColor="text1"/>
        </w:rPr>
        <w:drawing>
          <wp:inline distT="0" distB="0" distL="0" distR="0" wp14:anchorId="32ADD4B1" wp14:editId="51C54BF0">
            <wp:extent cx="5334000" cy="4445000"/>
            <wp:effectExtent l="0" t="0" r="0" b="0"/>
            <wp:docPr id="28" name="Picture" descr="Figure 3.2: Results from the jjm model run with the adnuts package showing sampling conditions."/>
            <wp:cNvGraphicFramePr/>
            <a:graphic xmlns:a="http://schemas.openxmlformats.org/drawingml/2006/main">
              <a:graphicData uri="http://schemas.openxmlformats.org/drawingml/2006/picture">
                <pic:pic xmlns:pic="http://schemas.openxmlformats.org/drawingml/2006/picture">
                  <pic:nvPicPr>
                    <pic:cNvPr id="29" name="Picture" descr="Uncertainty_files/figure-docx/mcsample-1.png"/>
                    <pic:cNvPicPr>
                      <a:picLocks noChangeAspect="1" noChangeArrowheads="1"/>
                    </pic:cNvPicPr>
                  </pic:nvPicPr>
                  <pic:blipFill>
                    <a:blip r:embed="rId11"/>
                    <a:stretch>
                      <a:fillRect/>
                    </a:stretch>
                  </pic:blipFill>
                  <pic:spPr bwMode="auto">
                    <a:xfrm>
                      <a:off x="0" y="0"/>
                      <a:ext cx="5334000" cy="4445000"/>
                    </a:xfrm>
                    <a:prstGeom prst="rect">
                      <a:avLst/>
                    </a:prstGeom>
                    <a:noFill/>
                    <a:ln w="9525">
                      <a:noFill/>
                      <a:headEnd/>
                      <a:tailEnd/>
                    </a:ln>
                  </pic:spPr>
                </pic:pic>
              </a:graphicData>
            </a:graphic>
          </wp:inline>
        </w:drawing>
      </w:r>
    </w:p>
    <w:p w14:paraId="2FD9B5D8" w14:textId="77777777" w:rsidR="008B44F2" w:rsidRPr="001629F3" w:rsidRDefault="00E13D0D">
      <w:pPr>
        <w:pStyle w:val="ImageCaption"/>
        <w:rPr>
          <w:color w:val="000000" w:themeColor="text1"/>
        </w:rPr>
      </w:pPr>
      <w:r w:rsidRPr="001629F3">
        <w:rPr>
          <w:color w:val="000000" w:themeColor="text1"/>
        </w:rPr>
        <w:t>Figure 3.2: Results from the jjm model run with the adnuts package showing sampling conditions.</w:t>
      </w:r>
    </w:p>
    <w:p w14:paraId="3158AF3D" w14:textId="77777777" w:rsidR="008B44F2" w:rsidRPr="001629F3" w:rsidRDefault="00E13D0D">
      <w:pPr>
        <w:pStyle w:val="CaptionedFigure"/>
        <w:rPr>
          <w:color w:val="000000" w:themeColor="text1"/>
        </w:rPr>
      </w:pPr>
      <w:r w:rsidRPr="001629F3">
        <w:rPr>
          <w:noProof/>
          <w:color w:val="000000" w:themeColor="text1"/>
        </w:rPr>
        <w:drawing>
          <wp:inline distT="0" distB="0" distL="0" distR="0" wp14:anchorId="18FF1486" wp14:editId="0CC32675">
            <wp:extent cx="5334000" cy="4445000"/>
            <wp:effectExtent l="0" t="0" r="0" b="0"/>
            <wp:docPr id="31" name="Picture" descr="Figure 3.3: Results from jjm model run comparing the log standard errors from the asymptotic estimates compared to the approximated marginal values from the MCMC posterior distribution."/>
            <wp:cNvGraphicFramePr/>
            <a:graphic xmlns:a="http://schemas.openxmlformats.org/drawingml/2006/main">
              <a:graphicData uri="http://schemas.openxmlformats.org/drawingml/2006/picture">
                <pic:pic xmlns:pic="http://schemas.openxmlformats.org/drawingml/2006/picture">
                  <pic:nvPicPr>
                    <pic:cNvPr id="32" name="Picture" descr="Uncertainty_files/figure-docx/mcstderr-1.png"/>
                    <pic:cNvPicPr>
                      <a:picLocks noChangeAspect="1" noChangeArrowheads="1"/>
                    </pic:cNvPicPr>
                  </pic:nvPicPr>
                  <pic:blipFill>
                    <a:blip r:embed="rId12"/>
                    <a:stretch>
                      <a:fillRect/>
                    </a:stretch>
                  </pic:blipFill>
                  <pic:spPr bwMode="auto">
                    <a:xfrm>
                      <a:off x="0" y="0"/>
                      <a:ext cx="5334000" cy="4445000"/>
                    </a:xfrm>
                    <a:prstGeom prst="rect">
                      <a:avLst/>
                    </a:prstGeom>
                    <a:noFill/>
                    <a:ln w="9525">
                      <a:noFill/>
                      <a:headEnd/>
                      <a:tailEnd/>
                    </a:ln>
                  </pic:spPr>
                </pic:pic>
              </a:graphicData>
            </a:graphic>
          </wp:inline>
        </w:drawing>
      </w:r>
    </w:p>
    <w:p w14:paraId="32478C6E" w14:textId="77777777" w:rsidR="008B44F2" w:rsidRPr="001629F3" w:rsidRDefault="00E13D0D">
      <w:pPr>
        <w:pStyle w:val="ImageCaption"/>
        <w:rPr>
          <w:color w:val="000000" w:themeColor="text1"/>
        </w:rPr>
      </w:pPr>
      <w:r w:rsidRPr="001629F3">
        <w:rPr>
          <w:color w:val="000000" w:themeColor="text1"/>
        </w:rPr>
        <w:t>Figure 3.3: Results from jjm model run comparing the log standard errors from the asymptotic estimates compared to the approximated marginal values from the MCMC posterior distribution.</w:t>
      </w:r>
    </w:p>
    <w:p w14:paraId="7DE3268F" w14:textId="6FD4A568" w:rsidR="008B44F2" w:rsidRDefault="00E13D0D">
      <w:pPr>
        <w:pStyle w:val="BodyText"/>
        <w:rPr>
          <w:color w:val="000000" w:themeColor="text1"/>
        </w:rPr>
      </w:pPr>
      <w:r w:rsidRPr="001629F3">
        <w:rPr>
          <w:color w:val="000000" w:themeColor="text1"/>
        </w:rPr>
        <w:t xml:space="preserve">Note that for further diagnostics, a library of attributes can be accessed </w:t>
      </w:r>
      <w:proofErr w:type="gramStart"/>
      <w:r w:rsidRPr="001629F3">
        <w:rPr>
          <w:color w:val="000000" w:themeColor="text1"/>
        </w:rPr>
        <w:t>via</w:t>
      </w:r>
      <w:r w:rsidR="00255420">
        <w:rPr>
          <w:rStyle w:val="VerbatimChar"/>
          <w:color w:val="000000" w:themeColor="text1"/>
        </w:rPr>
        <w:t>:</w:t>
      </w:r>
      <w:r w:rsidRPr="001629F3">
        <w:rPr>
          <w:color w:val="000000" w:themeColor="text1"/>
        </w:rPr>
        <w:t>.</w:t>
      </w:r>
      <w:proofErr w:type="gramEnd"/>
    </w:p>
    <w:p w14:paraId="668DBA4F" w14:textId="4BDA7D2B" w:rsidR="006D70D8" w:rsidRPr="001629F3" w:rsidRDefault="00255420" w:rsidP="006D70D8">
      <w:pPr>
        <w:pStyle w:val="SourceCode"/>
        <w:rPr>
          <w:color w:val="000000" w:themeColor="text1"/>
        </w:rPr>
      </w:pPr>
      <w:proofErr w:type="spellStart"/>
      <w:r w:rsidRPr="00255420">
        <w:rPr>
          <w:rStyle w:val="NormalTok"/>
          <w:color w:val="000000" w:themeColor="text1"/>
        </w:rPr>
        <w:t>launch_shinyadmb</w:t>
      </w:r>
      <w:proofErr w:type="spellEnd"/>
      <w:r w:rsidRPr="00255420">
        <w:rPr>
          <w:rStyle w:val="NormalTok"/>
          <w:color w:val="000000" w:themeColor="text1"/>
        </w:rPr>
        <w:t>(</w:t>
      </w:r>
      <w:proofErr w:type="spellStart"/>
      <w:r w:rsidRPr="00255420">
        <w:rPr>
          <w:rStyle w:val="NormalTok"/>
          <w:color w:val="000000" w:themeColor="text1"/>
        </w:rPr>
        <w:t>fit.mle</w:t>
      </w:r>
      <w:proofErr w:type="spellEnd"/>
      <w:r w:rsidRPr="00255420">
        <w:rPr>
          <w:rStyle w:val="NormalTok"/>
          <w:color w:val="000000" w:themeColor="text1"/>
        </w:rPr>
        <w:t>)</w:t>
      </w:r>
      <w:r>
        <w:rPr>
          <w:rStyle w:val="NormalTok"/>
          <w:color w:val="000000" w:themeColor="text1"/>
        </w:rPr>
        <w:t>.</w:t>
      </w:r>
    </w:p>
    <w:p w14:paraId="0E4B2A8C" w14:textId="030F2B81" w:rsidR="008B44F2" w:rsidRPr="001629F3" w:rsidRDefault="00255420">
      <w:pPr>
        <w:pStyle w:val="BodyText"/>
        <w:rPr>
          <w:color w:val="000000" w:themeColor="text1"/>
        </w:rPr>
      </w:pPr>
      <w:r>
        <w:rPr>
          <w:color w:val="000000" w:themeColor="text1"/>
        </w:rPr>
        <w:t xml:space="preserve">The </w:t>
      </w:r>
      <w:proofErr w:type="spellStart"/>
      <w:r>
        <w:rPr>
          <w:color w:val="000000" w:themeColor="text1"/>
        </w:rPr>
        <w:t>jjm</w:t>
      </w:r>
      <w:proofErr w:type="spellEnd"/>
      <w:r>
        <w:rPr>
          <w:color w:val="000000" w:themeColor="text1"/>
        </w:rPr>
        <w:t xml:space="preserve"> model is flexible in what can be saved as part of the MCMC output. Currently it is configured to show the distribution of quantities of management interest, e.g., spawning biomass in the last year. Such quantities also include t</w:t>
      </w:r>
      <w:r w:rsidRPr="001629F3">
        <w:rPr>
          <w:color w:val="000000" w:themeColor="text1"/>
        </w:rPr>
        <w:t xml:space="preserve">he component parts </w:t>
      </w:r>
      <w:r>
        <w:rPr>
          <w:color w:val="000000" w:themeColor="text1"/>
        </w:rPr>
        <w:t>of the posterior likelihood. To illustrate, w</w:t>
      </w:r>
      <w:r w:rsidRPr="001629F3">
        <w:rPr>
          <w:color w:val="000000" w:themeColor="text1"/>
        </w:rPr>
        <w:t>e show how the posterior samples relate to each of the information components (</w:t>
      </w:r>
      <w:r>
        <w:rPr>
          <w:color w:val="000000" w:themeColor="text1"/>
        </w:rPr>
        <w:t xml:space="preserve">in negative log-likelihood units). By subtracting off </w:t>
      </w:r>
      <w:r w:rsidRPr="001629F3">
        <w:rPr>
          <w:color w:val="000000" w:themeColor="text1"/>
        </w:rPr>
        <w:t xml:space="preserve">the mean </w:t>
      </w:r>
      <w:r>
        <w:rPr>
          <w:color w:val="000000" w:themeColor="text1"/>
        </w:rPr>
        <w:t xml:space="preserve">value </w:t>
      </w:r>
      <w:r w:rsidRPr="001629F3">
        <w:rPr>
          <w:color w:val="000000" w:themeColor="text1"/>
        </w:rPr>
        <w:t xml:space="preserve">within each component </w:t>
      </w:r>
      <w:r>
        <w:rPr>
          <w:color w:val="000000" w:themeColor="text1"/>
        </w:rPr>
        <w:t xml:space="preserve">we show how different data and prior components change for different spawning biomass levels (Fig. </w:t>
      </w:r>
      <w:r w:rsidRPr="001629F3">
        <w:rPr>
          <w:color w:val="000000" w:themeColor="text1"/>
        </w:rPr>
        <w:t>3.4).</w:t>
      </w:r>
      <w:r w:rsidR="00A92316">
        <w:rPr>
          <w:color w:val="000000" w:themeColor="text1"/>
        </w:rPr>
        <w:t xml:space="preserve"> This approach could be considered as another way to evaluate different data component impact</w:t>
      </w:r>
      <w:r>
        <w:rPr>
          <w:color w:val="000000" w:themeColor="text1"/>
        </w:rPr>
        <w:t>s</w:t>
      </w:r>
      <w:r w:rsidR="00A92316">
        <w:rPr>
          <w:color w:val="000000" w:themeColor="text1"/>
        </w:rPr>
        <w:t xml:space="preserve"> on quantities of interest (akin to previously performed profiles of scale, aka “</w:t>
      </w:r>
      <w:proofErr w:type="spellStart"/>
      <w:r w:rsidR="00A92316">
        <w:rPr>
          <w:color w:val="000000" w:themeColor="text1"/>
        </w:rPr>
        <w:t>Piner</w:t>
      </w:r>
      <w:proofErr w:type="spellEnd"/>
      <w:r w:rsidR="00A92316">
        <w:rPr>
          <w:color w:val="000000" w:themeColor="text1"/>
        </w:rPr>
        <w:t xml:space="preserve"> plots”).</w:t>
      </w:r>
    </w:p>
    <w:p w14:paraId="74ABF43A" w14:textId="37E68A9F" w:rsidR="008B44F2" w:rsidRPr="001629F3" w:rsidRDefault="00E13D0D">
      <w:pPr>
        <w:pStyle w:val="BodyText"/>
        <w:rPr>
          <w:color w:val="000000" w:themeColor="text1"/>
        </w:rPr>
      </w:pPr>
      <w:r w:rsidRPr="001629F3">
        <w:rPr>
          <w:color w:val="000000" w:themeColor="text1"/>
        </w:rPr>
        <w:t xml:space="preserve">The time series of spawning biomass estimates from the MCMC shows broad </w:t>
      </w:r>
      <w:r w:rsidR="00A92316">
        <w:rPr>
          <w:color w:val="000000" w:themeColor="text1"/>
        </w:rPr>
        <w:t>confidence bounds and similar projections can be evaluated given different catch projection scenarios (Fig.</w:t>
      </w:r>
      <w:r w:rsidRPr="001629F3">
        <w:rPr>
          <w:color w:val="000000" w:themeColor="text1"/>
        </w:rPr>
        <w:t xml:space="preserve"> 3.5).</w:t>
      </w:r>
    </w:p>
    <w:p w14:paraId="03C55E31" w14:textId="77777777" w:rsidR="008B44F2" w:rsidRPr="001629F3" w:rsidRDefault="00E13D0D">
      <w:pPr>
        <w:pStyle w:val="CaptionedFigure"/>
        <w:rPr>
          <w:color w:val="000000" w:themeColor="text1"/>
        </w:rPr>
      </w:pPr>
      <w:r w:rsidRPr="001629F3">
        <w:rPr>
          <w:noProof/>
          <w:color w:val="000000" w:themeColor="text1"/>
        </w:rPr>
        <w:drawing>
          <wp:inline distT="0" distB="0" distL="0" distR="0" wp14:anchorId="35A71ED0" wp14:editId="6755CFE7">
            <wp:extent cx="5334000" cy="3202679"/>
            <wp:effectExtent l="0" t="0" r="0" b="0"/>
            <wp:docPr id="34" name="Picture" descr="Figure 3.4: Results from the jjm model run with the adnuts package showing the component negative log-likelihood values given the spawning biomass (SSB) at the end of the model period."/>
            <wp:cNvGraphicFramePr/>
            <a:graphic xmlns:a="http://schemas.openxmlformats.org/drawingml/2006/main">
              <a:graphicData uri="http://schemas.openxmlformats.org/drawingml/2006/picture">
                <pic:pic xmlns:pic="http://schemas.openxmlformats.org/drawingml/2006/picture">
                  <pic:nvPicPr>
                    <pic:cNvPr id="35" name="Picture" descr="figs/PostProfile.png"/>
                    <pic:cNvPicPr>
                      <a:picLocks noChangeAspect="1" noChangeArrowheads="1"/>
                    </pic:cNvPicPr>
                  </pic:nvPicPr>
                  <pic:blipFill>
                    <a:blip r:embed="rId13"/>
                    <a:stretch>
                      <a:fillRect/>
                    </a:stretch>
                  </pic:blipFill>
                  <pic:spPr bwMode="auto">
                    <a:xfrm>
                      <a:off x="0" y="0"/>
                      <a:ext cx="5334000" cy="3202679"/>
                    </a:xfrm>
                    <a:prstGeom prst="rect">
                      <a:avLst/>
                    </a:prstGeom>
                    <a:noFill/>
                    <a:ln w="9525">
                      <a:noFill/>
                      <a:headEnd/>
                      <a:tailEnd/>
                    </a:ln>
                  </pic:spPr>
                </pic:pic>
              </a:graphicData>
            </a:graphic>
          </wp:inline>
        </w:drawing>
      </w:r>
    </w:p>
    <w:p w14:paraId="45BB40DD" w14:textId="77777777" w:rsidR="008B44F2" w:rsidRPr="001629F3" w:rsidRDefault="00E13D0D">
      <w:pPr>
        <w:pStyle w:val="ImageCaption"/>
        <w:rPr>
          <w:color w:val="000000" w:themeColor="text1"/>
        </w:rPr>
      </w:pPr>
      <w:r w:rsidRPr="001629F3">
        <w:rPr>
          <w:color w:val="000000" w:themeColor="text1"/>
        </w:rPr>
        <w:t>Figure 3.4: Results from the jjm model run with the adnuts package showing the component negative log-likelihood values given the spawning biomass (SSB) at the end of the model period.</w:t>
      </w:r>
    </w:p>
    <w:p w14:paraId="3BB42791" w14:textId="77777777" w:rsidR="008B44F2" w:rsidRPr="001629F3" w:rsidRDefault="00E13D0D">
      <w:pPr>
        <w:pStyle w:val="CaptionedFigure"/>
        <w:rPr>
          <w:color w:val="000000" w:themeColor="text1"/>
        </w:rPr>
      </w:pPr>
      <w:r w:rsidRPr="001629F3">
        <w:rPr>
          <w:noProof/>
          <w:color w:val="000000" w:themeColor="text1"/>
        </w:rPr>
        <w:drawing>
          <wp:inline distT="0" distB="0" distL="0" distR="0" wp14:anchorId="6215AF8D" wp14:editId="74FC9DDE">
            <wp:extent cx="5334000" cy="3998277"/>
            <wp:effectExtent l="0" t="0" r="0" b="0"/>
            <wp:docPr id="37" name="Picture" descr="Figure 3.5: Spawning biomass for Jack Mackerel based on the posterior distribution from the jjm model with the adnuts package"/>
            <wp:cNvGraphicFramePr/>
            <a:graphic xmlns:a="http://schemas.openxmlformats.org/drawingml/2006/main">
              <a:graphicData uri="http://schemas.openxmlformats.org/drawingml/2006/picture">
                <pic:pic xmlns:pic="http://schemas.openxmlformats.org/drawingml/2006/picture">
                  <pic:nvPicPr>
                    <pic:cNvPr id="38" name="Picture" descr="figs/ssb.png"/>
                    <pic:cNvPicPr>
                      <a:picLocks noChangeAspect="1" noChangeArrowheads="1"/>
                    </pic:cNvPicPr>
                  </pic:nvPicPr>
                  <pic:blipFill>
                    <a:blip r:embed="rId14"/>
                    <a:stretch>
                      <a:fillRect/>
                    </a:stretch>
                  </pic:blipFill>
                  <pic:spPr bwMode="auto">
                    <a:xfrm>
                      <a:off x="0" y="0"/>
                      <a:ext cx="5334000" cy="3998277"/>
                    </a:xfrm>
                    <a:prstGeom prst="rect">
                      <a:avLst/>
                    </a:prstGeom>
                    <a:noFill/>
                    <a:ln w="9525">
                      <a:noFill/>
                      <a:headEnd/>
                      <a:tailEnd/>
                    </a:ln>
                  </pic:spPr>
                </pic:pic>
              </a:graphicData>
            </a:graphic>
          </wp:inline>
        </w:drawing>
      </w:r>
    </w:p>
    <w:p w14:paraId="095EB1E2" w14:textId="77777777" w:rsidR="008B44F2" w:rsidRPr="001629F3" w:rsidRDefault="00E13D0D">
      <w:pPr>
        <w:pStyle w:val="ImageCaption"/>
        <w:rPr>
          <w:color w:val="000000" w:themeColor="text1"/>
        </w:rPr>
      </w:pPr>
      <w:r w:rsidRPr="001629F3">
        <w:rPr>
          <w:color w:val="000000" w:themeColor="text1"/>
        </w:rPr>
        <w:t>Figure 3.5: Spawning biomass for Jack Mackerel based on the posterior distribution from the jjm model with the adnuts package</w:t>
      </w:r>
    </w:p>
    <w:p w14:paraId="10DAD42A" w14:textId="5797B9EC" w:rsidR="008B44F2" w:rsidRPr="001629F3" w:rsidRDefault="00E13D0D" w:rsidP="00EF3917">
      <w:pPr>
        <w:pStyle w:val="Heading2"/>
      </w:pPr>
      <w:bookmarkStart w:id="6" w:name="testing-an-alternative-selectivity"/>
      <w:bookmarkEnd w:id="5"/>
      <w:r w:rsidRPr="001629F3">
        <w:rPr>
          <w:rStyle w:val="SectionNumber"/>
        </w:rPr>
        <w:t>3.2</w:t>
      </w:r>
      <w:r w:rsidRPr="001629F3">
        <w:tab/>
        <w:t>Testing an alternative selectivity</w:t>
      </w:r>
      <w:r w:rsidR="00255420">
        <w:t xml:space="preserve"> function form</w:t>
      </w:r>
    </w:p>
    <w:p w14:paraId="360A176A" w14:textId="04247CED" w:rsidR="008B44F2" w:rsidRPr="001629F3" w:rsidRDefault="00255420">
      <w:pPr>
        <w:pStyle w:val="FirstParagraph"/>
        <w:rPr>
          <w:color w:val="000000" w:themeColor="text1"/>
        </w:rPr>
      </w:pPr>
      <w:r>
        <w:rPr>
          <w:color w:val="000000" w:themeColor="text1"/>
        </w:rPr>
        <w:t xml:space="preserve">In the proposed release of </w:t>
      </w:r>
      <w:proofErr w:type="spellStart"/>
      <w:r>
        <w:rPr>
          <w:color w:val="000000" w:themeColor="text1"/>
        </w:rPr>
        <w:t>jjm</w:t>
      </w:r>
      <w:proofErr w:type="spellEnd"/>
      <w:r>
        <w:rPr>
          <w:color w:val="000000" w:themeColor="text1"/>
        </w:rPr>
        <w:t xml:space="preserve"> (1.00.00), </w:t>
      </w:r>
      <w:r w:rsidR="001C4996">
        <w:rPr>
          <w:color w:val="000000" w:themeColor="text1"/>
        </w:rPr>
        <w:t>the</w:t>
      </w:r>
      <w:r>
        <w:rPr>
          <w:color w:val="000000" w:themeColor="text1"/>
        </w:rPr>
        <w:t xml:space="preserve"> new </w:t>
      </w:r>
      <w:r w:rsidRPr="001629F3">
        <w:rPr>
          <w:color w:val="000000" w:themeColor="text1"/>
        </w:rPr>
        <w:t xml:space="preserve">3-parameter double logistic </w:t>
      </w:r>
      <w:r w:rsidR="001C4996">
        <w:rPr>
          <w:color w:val="000000" w:themeColor="text1"/>
        </w:rPr>
        <w:t>(with time-varying component)</w:t>
      </w:r>
      <w:r w:rsidRPr="001629F3">
        <w:rPr>
          <w:color w:val="000000" w:themeColor="text1"/>
        </w:rPr>
        <w:t xml:space="preserve"> selectivity option provided less flexibility than the standard plots, but patterns were broadly similar (Fig. 3.6).</w:t>
      </w:r>
      <w:r w:rsidR="001629F3">
        <w:rPr>
          <w:color w:val="000000" w:themeColor="text1"/>
        </w:rPr>
        <w:t xml:space="preserve"> However, initial tests of doing the MCMC integration resulted in more work needed for resolving some of the parameters.</w:t>
      </w:r>
    </w:p>
    <w:p w14:paraId="3C311446" w14:textId="77777777" w:rsidR="008B44F2" w:rsidRPr="001629F3" w:rsidRDefault="00E13D0D">
      <w:pPr>
        <w:pStyle w:val="CaptionedFigure"/>
        <w:rPr>
          <w:color w:val="000000" w:themeColor="text1"/>
        </w:rPr>
      </w:pPr>
      <w:r w:rsidRPr="001629F3">
        <w:rPr>
          <w:noProof/>
          <w:color w:val="000000" w:themeColor="text1"/>
        </w:rPr>
        <w:drawing>
          <wp:inline distT="0" distB="0" distL="0" distR="0" wp14:anchorId="1A415233" wp14:editId="56FB2E71">
            <wp:extent cx="5334000" cy="5926666"/>
            <wp:effectExtent l="0" t="0" r="0" b="0"/>
            <wp:docPr id="41" name="Picture" descr="Figure 3.6: Spawning biomass for Jack Mackerel based on the posterior distribution from the jjm model with the adnuts package"/>
            <wp:cNvGraphicFramePr/>
            <a:graphic xmlns:a="http://schemas.openxmlformats.org/drawingml/2006/main">
              <a:graphicData uri="http://schemas.openxmlformats.org/drawingml/2006/picture">
                <pic:pic xmlns:pic="http://schemas.openxmlformats.org/drawingml/2006/picture">
                  <pic:nvPicPr>
                    <pic:cNvPr id="42" name="Picture" descr="figs/sel_compare.png"/>
                    <pic:cNvPicPr>
                      <a:picLocks noChangeAspect="1" noChangeArrowheads="1"/>
                    </pic:cNvPicPr>
                  </pic:nvPicPr>
                  <pic:blipFill>
                    <a:blip r:embed="rId15"/>
                    <a:stretch>
                      <a:fillRect/>
                    </a:stretch>
                  </pic:blipFill>
                  <pic:spPr bwMode="auto">
                    <a:xfrm>
                      <a:off x="0" y="0"/>
                      <a:ext cx="5334000" cy="5926666"/>
                    </a:xfrm>
                    <a:prstGeom prst="rect">
                      <a:avLst/>
                    </a:prstGeom>
                    <a:noFill/>
                    <a:ln w="9525">
                      <a:noFill/>
                      <a:headEnd/>
                      <a:tailEnd/>
                    </a:ln>
                  </pic:spPr>
                </pic:pic>
              </a:graphicData>
            </a:graphic>
          </wp:inline>
        </w:drawing>
      </w:r>
    </w:p>
    <w:p w14:paraId="41E3A84E" w14:textId="4DBA7EE9" w:rsidR="008B44F2" w:rsidRDefault="00E13D0D">
      <w:pPr>
        <w:pStyle w:val="ImageCaption"/>
        <w:rPr>
          <w:color w:val="000000" w:themeColor="text1"/>
        </w:rPr>
      </w:pPr>
      <w:r w:rsidRPr="001629F3">
        <w:rPr>
          <w:color w:val="000000" w:themeColor="text1"/>
        </w:rPr>
        <w:t xml:space="preserve">Figure 3.6: </w:t>
      </w:r>
      <w:r w:rsidR="00EB2061">
        <w:rPr>
          <w:color w:val="000000" w:themeColor="text1"/>
        </w:rPr>
        <w:t xml:space="preserve">Selectivity </w:t>
      </w:r>
      <w:r w:rsidR="00EB26B3">
        <w:rPr>
          <w:color w:val="000000" w:themeColor="text1"/>
        </w:rPr>
        <w:t>for three main fisheries</w:t>
      </w:r>
      <w:r w:rsidR="00237448">
        <w:rPr>
          <w:color w:val="000000" w:themeColor="text1"/>
        </w:rPr>
        <w:t xml:space="preserve"> (columns) over time using the base (default) model (bottom row) and using the new 3-parameter double logistic (top row</w:t>
      </w:r>
      <w:r>
        <w:rPr>
          <w:color w:val="000000" w:themeColor="text1"/>
        </w:rPr>
        <w:t>).</w:t>
      </w:r>
    </w:p>
    <w:p w14:paraId="73D06A40" w14:textId="5531CA53" w:rsidR="003D3DF5" w:rsidRDefault="00EF3917" w:rsidP="00EF3917">
      <w:pPr>
        <w:pStyle w:val="Heading2"/>
      </w:pPr>
      <w:r w:rsidRPr="00EF3917">
        <w:t>Acknowledgements</w:t>
      </w:r>
    </w:p>
    <w:p w14:paraId="722BB774" w14:textId="616CA39B" w:rsidR="00EF3917" w:rsidRPr="00EF3917" w:rsidRDefault="00EF3917" w:rsidP="00EF3917">
      <w:pPr>
        <w:pStyle w:val="BodyText"/>
      </w:pPr>
      <w:r>
        <w:t xml:space="preserve">Cole </w:t>
      </w:r>
      <w:proofErr w:type="spellStart"/>
      <w:r>
        <w:t>Monnahan</w:t>
      </w:r>
      <w:proofErr w:type="spellEnd"/>
      <w:r>
        <w:t xml:space="preserve"> assisted with conducting and interpreting the application of the </w:t>
      </w:r>
      <w:proofErr w:type="spellStart"/>
      <w:r>
        <w:t>adnuts</w:t>
      </w:r>
      <w:proofErr w:type="spellEnd"/>
      <w:r>
        <w:t xml:space="preserve"> R package.</w:t>
      </w:r>
    </w:p>
    <w:p w14:paraId="55BCA13C" w14:textId="77777777" w:rsidR="008B44F2" w:rsidRPr="001629F3" w:rsidRDefault="00E13D0D" w:rsidP="00EF3917">
      <w:pPr>
        <w:pStyle w:val="Heading1"/>
      </w:pPr>
      <w:bookmarkStart w:id="7" w:name="references"/>
      <w:bookmarkEnd w:id="4"/>
      <w:bookmarkEnd w:id="6"/>
      <w:r w:rsidRPr="001629F3">
        <w:rPr>
          <w:rStyle w:val="SectionNumber"/>
        </w:rPr>
        <w:t>4</w:t>
      </w:r>
      <w:r w:rsidRPr="001629F3">
        <w:tab/>
      </w:r>
      <w:r w:rsidRPr="00EF3917">
        <w:t>References</w:t>
      </w:r>
    </w:p>
    <w:p w14:paraId="40826006" w14:textId="77777777" w:rsidR="008B44F2" w:rsidRPr="001629F3" w:rsidRDefault="00E13D0D">
      <w:pPr>
        <w:pStyle w:val="FirstParagraph"/>
        <w:rPr>
          <w:color w:val="000000" w:themeColor="text1"/>
        </w:rPr>
      </w:pPr>
      <w:r w:rsidRPr="001629F3">
        <w:rPr>
          <w:color w:val="000000" w:themeColor="text1"/>
        </w:rPr>
        <w:t>Butterworth, D.S, J. N. Ianelli &amp; R. Hilborn (2003) A Statistical Model for Stock Assessment of Southern Bluefin Tuna with Temporal Changes in Selectivity, African Journal of Marine Science, 25:1, 331-361, DOI: 10.2989/18142320309504021.</w:t>
      </w:r>
    </w:p>
    <w:p w14:paraId="64AAAF3A" w14:textId="77777777" w:rsidR="008B44F2" w:rsidRPr="001629F3" w:rsidRDefault="00E13D0D">
      <w:pPr>
        <w:pStyle w:val="BodyText"/>
        <w:rPr>
          <w:color w:val="000000" w:themeColor="text1"/>
        </w:rPr>
      </w:pPr>
      <w:proofErr w:type="spellStart"/>
      <w:r w:rsidRPr="001629F3">
        <w:rPr>
          <w:color w:val="000000" w:themeColor="text1"/>
        </w:rPr>
        <w:t>Monnahan</w:t>
      </w:r>
      <w:proofErr w:type="spellEnd"/>
      <w:r w:rsidRPr="001629F3">
        <w:rPr>
          <w:color w:val="000000" w:themeColor="text1"/>
        </w:rPr>
        <w:t xml:space="preserve"> CC, Kristensen K (2018). “No-U-turn sampling for fast Bayesian inference in ADMB and TMB: Introducing the adnuts and tmbstan R packages.” </w:t>
      </w:r>
      <w:proofErr w:type="spellStart"/>
      <w:r w:rsidRPr="001629F3">
        <w:rPr>
          <w:color w:val="000000" w:themeColor="text1"/>
        </w:rPr>
        <w:t>PLoS</w:t>
      </w:r>
      <w:proofErr w:type="spellEnd"/>
      <w:r w:rsidRPr="001629F3">
        <w:rPr>
          <w:color w:val="000000" w:themeColor="text1"/>
        </w:rPr>
        <w:t xml:space="preserve"> ONE, 13(5), e0197954.</w:t>
      </w:r>
    </w:p>
    <w:p w14:paraId="0311373D" w14:textId="77777777" w:rsidR="008B44F2" w:rsidRPr="001629F3" w:rsidRDefault="00E13D0D">
      <w:pPr>
        <w:pStyle w:val="BodyText"/>
        <w:rPr>
          <w:color w:val="000000" w:themeColor="text1"/>
        </w:rPr>
      </w:pPr>
      <w:r w:rsidRPr="001629F3">
        <w:rPr>
          <w:color w:val="000000" w:themeColor="text1"/>
        </w:rPr>
        <w:t>Monnahan CC (2018). adnuts: No-U-Turn MCMC Sampling for ADMB Models</w:t>
      </w:r>
      <w:proofErr w:type="gramStart"/>
      <w:r w:rsidRPr="001629F3">
        <w:rPr>
          <w:color w:val="000000" w:themeColor="text1"/>
        </w:rPr>
        <w:t>. .</w:t>
      </w:r>
      <w:proofErr w:type="gramEnd"/>
      <w:r w:rsidRPr="001629F3">
        <w:rPr>
          <w:color w:val="000000" w:themeColor="text1"/>
        </w:rPr>
        <w:t xml:space="preserve"> R package version 1.1.2.</w:t>
      </w:r>
      <w:bookmarkEnd w:id="7"/>
    </w:p>
    <w:sectPr w:rsidR="008B44F2" w:rsidRPr="001629F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3EE45" w14:textId="77777777" w:rsidR="002562E2" w:rsidRDefault="002562E2">
      <w:pPr>
        <w:spacing w:after="0"/>
      </w:pPr>
      <w:r>
        <w:separator/>
      </w:r>
    </w:p>
  </w:endnote>
  <w:endnote w:type="continuationSeparator" w:id="0">
    <w:p w14:paraId="27D4B95E" w14:textId="77777777" w:rsidR="002562E2" w:rsidRDefault="002562E2">
      <w:pPr>
        <w:spacing w:after="0"/>
      </w:pPr>
      <w:r>
        <w:continuationSeparator/>
      </w:r>
    </w:p>
  </w:endnote>
  <w:endnote w:type="continuationNotice" w:id="1">
    <w:p w14:paraId="7C58DFA8" w14:textId="77777777" w:rsidR="00DB0515" w:rsidRDefault="00DB05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F21E8" w14:textId="77777777" w:rsidR="002562E2" w:rsidRDefault="002562E2">
      <w:r>
        <w:separator/>
      </w:r>
    </w:p>
  </w:footnote>
  <w:footnote w:type="continuationSeparator" w:id="0">
    <w:p w14:paraId="77E1A2A4" w14:textId="77777777" w:rsidR="002562E2" w:rsidRDefault="002562E2">
      <w:r>
        <w:continuationSeparator/>
      </w:r>
    </w:p>
  </w:footnote>
  <w:footnote w:type="continuationNotice" w:id="1">
    <w:p w14:paraId="7E1C89C1" w14:textId="77777777" w:rsidR="00DB0515" w:rsidRDefault="00DB051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FE633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F0290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802123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64C62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0C3CC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FE264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A85D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3B227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CE41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801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527255C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959098917">
    <w:abstractNumId w:val="10"/>
  </w:num>
  <w:num w:numId="2" w16cid:durableId="1528060369">
    <w:abstractNumId w:val="0"/>
  </w:num>
  <w:num w:numId="3" w16cid:durableId="547684751">
    <w:abstractNumId w:val="1"/>
  </w:num>
  <w:num w:numId="4" w16cid:durableId="1491487213">
    <w:abstractNumId w:val="2"/>
  </w:num>
  <w:num w:numId="5" w16cid:durableId="555629461">
    <w:abstractNumId w:val="3"/>
  </w:num>
  <w:num w:numId="6" w16cid:durableId="1914659678">
    <w:abstractNumId w:val="8"/>
  </w:num>
  <w:num w:numId="7" w16cid:durableId="1355763847">
    <w:abstractNumId w:val="4"/>
  </w:num>
  <w:num w:numId="8" w16cid:durableId="204949295">
    <w:abstractNumId w:val="5"/>
  </w:num>
  <w:num w:numId="9" w16cid:durableId="1829588666">
    <w:abstractNumId w:val="6"/>
  </w:num>
  <w:num w:numId="10" w16cid:durableId="1503349233">
    <w:abstractNumId w:val="7"/>
  </w:num>
  <w:num w:numId="11" w16cid:durableId="14145511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B44F2"/>
    <w:rsid w:val="00124A74"/>
    <w:rsid w:val="00147E57"/>
    <w:rsid w:val="001629F3"/>
    <w:rsid w:val="00195A97"/>
    <w:rsid w:val="001C4996"/>
    <w:rsid w:val="00237448"/>
    <w:rsid w:val="00255420"/>
    <w:rsid w:val="002562E2"/>
    <w:rsid w:val="003D3DF5"/>
    <w:rsid w:val="00482057"/>
    <w:rsid w:val="00693F49"/>
    <w:rsid w:val="006D70D8"/>
    <w:rsid w:val="008B44F2"/>
    <w:rsid w:val="00A92316"/>
    <w:rsid w:val="00AF3175"/>
    <w:rsid w:val="00B0741C"/>
    <w:rsid w:val="00DB0515"/>
    <w:rsid w:val="00DD1B31"/>
    <w:rsid w:val="00E13D0D"/>
    <w:rsid w:val="00E4787C"/>
    <w:rsid w:val="00E73CFF"/>
    <w:rsid w:val="00EB2061"/>
    <w:rsid w:val="00EB26B3"/>
    <w:rsid w:val="00EF391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589E51"/>
  <w15:docId w15:val="{7771AFCA-15E8-46A5-AB75-2B26F7DA4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rsid w:val="00EF3917"/>
    <w:pPr>
      <w:keepNext/>
      <w:keepLines/>
      <w:spacing w:before="480" w:after="0"/>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BodyText"/>
    <w:uiPriority w:val="9"/>
    <w:unhideWhenUsed/>
    <w:qFormat/>
    <w:rsid w:val="00EF3917"/>
    <w:pPr>
      <w:keepNext/>
      <w:keepLines/>
      <w:spacing w:before="200" w:after="0"/>
      <w:outlineLvl w:val="1"/>
    </w:pPr>
    <w:rPr>
      <w:rFonts w:asciiTheme="majorHAnsi" w:eastAsiaTheme="majorEastAsia" w:hAnsiTheme="majorHAnsi" w:cstheme="majorBidi"/>
      <w:b/>
      <w:bCs/>
      <w:color w:val="000000" w:themeColor="tex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customStyle="1" w:styleId="BodyTextChar">
    <w:name w:val="Body Text Char"/>
    <w:basedOn w:val="DefaultParagraphFont"/>
    <w:link w:val="BodyText"/>
    <w:rsid w:val="00B0741C"/>
  </w:style>
  <w:style w:type="paragraph" w:styleId="Header">
    <w:name w:val="header"/>
    <w:basedOn w:val="Normal"/>
    <w:link w:val="HeaderChar"/>
    <w:semiHidden/>
    <w:unhideWhenUsed/>
    <w:rsid w:val="00DB0515"/>
    <w:pPr>
      <w:tabs>
        <w:tab w:val="center" w:pos="4680"/>
        <w:tab w:val="right" w:pos="9360"/>
      </w:tabs>
      <w:spacing w:after="0"/>
    </w:pPr>
  </w:style>
  <w:style w:type="character" w:customStyle="1" w:styleId="HeaderChar">
    <w:name w:val="Header Char"/>
    <w:basedOn w:val="DefaultParagraphFont"/>
    <w:link w:val="Header"/>
    <w:semiHidden/>
    <w:rsid w:val="00DB0515"/>
  </w:style>
  <w:style w:type="paragraph" w:styleId="Footer">
    <w:name w:val="footer"/>
    <w:basedOn w:val="Normal"/>
    <w:link w:val="FooterChar"/>
    <w:semiHidden/>
    <w:unhideWhenUsed/>
    <w:rsid w:val="00DB0515"/>
    <w:pPr>
      <w:tabs>
        <w:tab w:val="center" w:pos="4680"/>
        <w:tab w:val="right" w:pos="9360"/>
      </w:tabs>
      <w:spacing w:after="0"/>
    </w:pPr>
  </w:style>
  <w:style w:type="character" w:customStyle="1" w:styleId="FooterChar">
    <w:name w:val="Footer Char"/>
    <w:basedOn w:val="DefaultParagraphFont"/>
    <w:link w:val="Footer"/>
    <w:semiHidden/>
    <w:rsid w:val="00DB0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2D0B056278C642B7C89719D0EEC9C4" ma:contentTypeVersion="4" ma:contentTypeDescription="Create a new document." ma:contentTypeScope="" ma:versionID="459ccd4a2f4db444801dd1c587af921d">
  <xsd:schema xmlns:xsd="http://www.w3.org/2001/XMLSchema" xmlns:xs="http://www.w3.org/2001/XMLSchema" xmlns:p="http://schemas.microsoft.com/office/2006/metadata/properties" xmlns:ns2="f419981a-ca0a-4e56-9512-575f16b7ea2d" targetNamespace="http://schemas.microsoft.com/office/2006/metadata/properties" ma:root="true" ma:fieldsID="e76f6978cc275c7466d741305d3dbcb0" ns2:_="">
    <xsd:import namespace="f419981a-ca0a-4e56-9512-575f16b7ea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9981a-ca0a-4e56-9512-575f16b7e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3C104F-B61D-4B8F-9177-4623F16091AD}">
  <ds:schemaRefs>
    <ds:schemaRef ds:uri="http://schemas.microsoft.com/sharepoint/v3/contenttype/forms"/>
  </ds:schemaRefs>
</ds:datastoreItem>
</file>

<file path=customXml/itemProps2.xml><?xml version="1.0" encoding="utf-8"?>
<ds:datastoreItem xmlns:ds="http://schemas.openxmlformats.org/officeDocument/2006/customXml" ds:itemID="{0837B257-3DA4-4D25-A5F9-964413878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9981a-ca0a-4e56-9512-575f16b7ea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DF3AB5-644D-4CB8-B7FA-DB078F9A7B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1300</Words>
  <Characters>7410</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Extending the SPRFMO Jack mackerel assessment model uncertainty estimates</vt:lpstr>
    </vt:vector>
  </TitlesOfParts>
  <Company>Alaska Fisheries Science Center</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Extending the SPRFMO Jack mackerel assessment model uncertainty estimates</dc:title>
  <dc:subject/>
  <dc:creator/>
  <cp:keywords/>
  <cp:lastModifiedBy>Jim Ianelli</cp:lastModifiedBy>
  <cp:revision>11</cp:revision>
  <dcterms:created xsi:type="dcterms:W3CDTF">2022-07-13T08:10:00Z</dcterms:created>
  <dcterms:modified xsi:type="dcterms:W3CDTF">2022-07-14T00:01:00Z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13 July 2022</vt:lpwstr>
  </property>
  <property fmtid="{D5CDD505-2E9C-101B-9397-08002B2CF9AE}" pid="3" name="documentclass">
    <vt:lpwstr>book</vt:lpwstr>
  </property>
  <property fmtid="{D5CDD505-2E9C-101B-9397-08002B2CF9AE}" pid="4" name="output">
    <vt:lpwstr/>
  </property>
  <property fmtid="{D5CDD505-2E9C-101B-9397-08002B2CF9AE}" pid="5" name="ContentTypeId">
    <vt:lpwstr>0x010100812D0B056278C642B7C89719D0EEC9C4</vt:lpwstr>
  </property>
</Properties>
</file>